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6B4871" w:rsidRDefault="007766DD" w:rsidP="00EB38E6">
      <w:pPr>
        <w:jc w:val="center"/>
        <w:rPr>
          <w:lang w:val="en-GB"/>
        </w:rPr>
      </w:pPr>
      <w:r w:rsidRPr="006B4871">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6B4871" w:rsidRDefault="002B26D6" w:rsidP="000F7E70">
      <w:pPr>
        <w:autoSpaceDE w:val="0"/>
        <w:ind w:left="720" w:firstLine="720"/>
        <w:jc w:val="center"/>
        <w:rPr>
          <w:b/>
          <w:bCs/>
          <w:lang w:val="en-GB"/>
        </w:rPr>
      </w:pPr>
    </w:p>
    <w:p w:rsidR="000F7E70" w:rsidRPr="006B4871" w:rsidRDefault="000F7E70" w:rsidP="00EB38E6">
      <w:pPr>
        <w:autoSpaceDE w:val="0"/>
        <w:ind w:hanging="11"/>
        <w:jc w:val="center"/>
        <w:rPr>
          <w:b/>
          <w:bCs/>
          <w:lang w:val="en-GB"/>
        </w:rPr>
      </w:pPr>
      <w:r w:rsidRPr="006B4871">
        <w:rPr>
          <w:b/>
          <w:bCs/>
          <w:lang w:val="en-GB"/>
        </w:rPr>
        <w:t>OPINION</w:t>
      </w:r>
    </w:p>
    <w:p w:rsidR="00E24650" w:rsidRDefault="00E24650" w:rsidP="00685D4C">
      <w:pPr>
        <w:autoSpaceDE w:val="0"/>
        <w:autoSpaceDN w:val="0"/>
        <w:adjustRightInd w:val="0"/>
        <w:jc w:val="both"/>
        <w:rPr>
          <w:b/>
          <w:bCs/>
          <w:lang w:val="ru-RU"/>
        </w:rPr>
      </w:pPr>
    </w:p>
    <w:p w:rsidR="00C64EFB" w:rsidRPr="00694110" w:rsidRDefault="00C64EFB" w:rsidP="00C64EFB">
      <w:pPr>
        <w:autoSpaceDE w:val="0"/>
        <w:jc w:val="both"/>
        <w:rPr>
          <w:b/>
          <w:bCs/>
          <w:lang w:val="en-GB"/>
        </w:rPr>
      </w:pPr>
      <w:r w:rsidRPr="00694110">
        <w:rPr>
          <w:b/>
          <w:bCs/>
          <w:lang w:val="en-GB"/>
        </w:rPr>
        <w:t>Date of adoption: 1</w:t>
      </w:r>
      <w:r>
        <w:rPr>
          <w:b/>
          <w:bCs/>
          <w:lang w:val="ru-RU"/>
        </w:rPr>
        <w:t>3</w:t>
      </w:r>
      <w:r w:rsidRPr="00694110">
        <w:rPr>
          <w:b/>
          <w:bCs/>
          <w:lang w:val="en-GB"/>
        </w:rPr>
        <w:t xml:space="preserve"> December 2014</w:t>
      </w:r>
    </w:p>
    <w:p w:rsidR="00C64EFB" w:rsidRPr="00C64EFB" w:rsidRDefault="00C64EFB" w:rsidP="00685D4C">
      <w:pPr>
        <w:autoSpaceDE w:val="0"/>
        <w:autoSpaceDN w:val="0"/>
        <w:adjustRightInd w:val="0"/>
        <w:jc w:val="both"/>
        <w:rPr>
          <w:b/>
          <w:bCs/>
          <w:lang w:val="ru-RU"/>
        </w:rPr>
      </w:pPr>
    </w:p>
    <w:p w:rsidR="00685D4C" w:rsidRPr="006B4871" w:rsidRDefault="00685D4C" w:rsidP="00685D4C">
      <w:pPr>
        <w:autoSpaceDE w:val="0"/>
        <w:autoSpaceDN w:val="0"/>
        <w:adjustRightInd w:val="0"/>
        <w:jc w:val="both"/>
        <w:rPr>
          <w:b/>
          <w:bCs/>
        </w:rPr>
      </w:pPr>
      <w:r w:rsidRPr="006B4871">
        <w:rPr>
          <w:b/>
          <w:bCs/>
        </w:rPr>
        <w:t>Case No. 226/09</w:t>
      </w:r>
    </w:p>
    <w:p w:rsidR="00685D4C" w:rsidRPr="006B4871" w:rsidRDefault="00685D4C" w:rsidP="00685D4C">
      <w:pPr>
        <w:autoSpaceDE w:val="0"/>
        <w:autoSpaceDN w:val="0"/>
        <w:adjustRightInd w:val="0"/>
        <w:jc w:val="both"/>
        <w:rPr>
          <w:b/>
          <w:bCs/>
        </w:rPr>
      </w:pPr>
    </w:p>
    <w:p w:rsidR="00E24650" w:rsidRPr="006B4871" w:rsidRDefault="00E24650" w:rsidP="00685D4C">
      <w:pPr>
        <w:autoSpaceDE w:val="0"/>
        <w:autoSpaceDN w:val="0"/>
        <w:adjustRightInd w:val="0"/>
        <w:jc w:val="both"/>
        <w:rPr>
          <w:b/>
          <w:bCs/>
        </w:rPr>
      </w:pPr>
    </w:p>
    <w:p w:rsidR="00685D4C" w:rsidRPr="006B4871" w:rsidRDefault="00685D4C" w:rsidP="00685D4C">
      <w:pPr>
        <w:autoSpaceDE w:val="0"/>
        <w:autoSpaceDN w:val="0"/>
        <w:adjustRightInd w:val="0"/>
        <w:jc w:val="both"/>
        <w:rPr>
          <w:b/>
          <w:bCs/>
        </w:rPr>
      </w:pPr>
      <w:r w:rsidRPr="006B4871">
        <w:rPr>
          <w:b/>
        </w:rPr>
        <w:t xml:space="preserve">Draginja </w:t>
      </w:r>
      <w:bookmarkStart w:id="0" w:name="_GoBack"/>
      <w:r w:rsidRPr="006B4871">
        <w:rPr>
          <w:b/>
        </w:rPr>
        <w:t>VUJAČI</w:t>
      </w:r>
      <w:r w:rsidRPr="006B4871">
        <w:rPr>
          <w:b/>
          <w:caps/>
        </w:rPr>
        <w:t>ć</w:t>
      </w:r>
      <w:r w:rsidRPr="006B4871">
        <w:rPr>
          <w:b/>
        </w:rPr>
        <w:t xml:space="preserve"> </w:t>
      </w:r>
    </w:p>
    <w:bookmarkEnd w:id="0"/>
    <w:p w:rsidR="002D428F" w:rsidRPr="006B4871" w:rsidRDefault="002D428F" w:rsidP="002D428F">
      <w:pPr>
        <w:autoSpaceDE w:val="0"/>
        <w:autoSpaceDN w:val="0"/>
        <w:adjustRightInd w:val="0"/>
        <w:jc w:val="both"/>
        <w:rPr>
          <w:b/>
          <w:bCs/>
          <w:lang w:val="en-GB"/>
        </w:rPr>
      </w:pPr>
    </w:p>
    <w:p w:rsidR="002D428F" w:rsidRPr="006B4871" w:rsidRDefault="002D428F" w:rsidP="002D428F">
      <w:pPr>
        <w:autoSpaceDE w:val="0"/>
        <w:autoSpaceDN w:val="0"/>
        <w:adjustRightInd w:val="0"/>
        <w:jc w:val="both"/>
        <w:rPr>
          <w:b/>
          <w:bCs/>
          <w:lang w:val="en-GB"/>
        </w:rPr>
      </w:pPr>
      <w:proofErr w:type="gramStart"/>
      <w:r w:rsidRPr="006B4871">
        <w:rPr>
          <w:b/>
          <w:bCs/>
          <w:lang w:val="en-GB"/>
        </w:rPr>
        <w:t>against</w:t>
      </w:r>
      <w:proofErr w:type="gramEnd"/>
    </w:p>
    <w:p w:rsidR="002D428F" w:rsidRPr="006B4871" w:rsidRDefault="002D428F" w:rsidP="002D428F">
      <w:pPr>
        <w:autoSpaceDE w:val="0"/>
        <w:autoSpaceDN w:val="0"/>
        <w:adjustRightInd w:val="0"/>
        <w:jc w:val="both"/>
        <w:rPr>
          <w:b/>
          <w:bCs/>
          <w:lang w:val="en-GB"/>
        </w:rPr>
      </w:pPr>
    </w:p>
    <w:p w:rsidR="002D428F" w:rsidRPr="006B4871" w:rsidRDefault="002D428F" w:rsidP="002D428F">
      <w:pPr>
        <w:autoSpaceDE w:val="0"/>
        <w:autoSpaceDN w:val="0"/>
        <w:adjustRightInd w:val="0"/>
        <w:jc w:val="both"/>
        <w:rPr>
          <w:b/>
          <w:bCs/>
          <w:lang w:val="en-GB"/>
        </w:rPr>
      </w:pPr>
      <w:r w:rsidRPr="006B4871">
        <w:rPr>
          <w:b/>
          <w:bCs/>
          <w:lang w:val="en-GB"/>
        </w:rPr>
        <w:t xml:space="preserve">UNMIK </w:t>
      </w:r>
    </w:p>
    <w:p w:rsidR="00E07C8C" w:rsidRPr="006B4871" w:rsidRDefault="00E07C8C" w:rsidP="000F7E70">
      <w:pPr>
        <w:autoSpaceDE w:val="0"/>
        <w:jc w:val="both"/>
        <w:rPr>
          <w:b/>
          <w:bCs/>
          <w:lang w:val="en-GB"/>
        </w:rPr>
      </w:pPr>
    </w:p>
    <w:p w:rsidR="004202B2" w:rsidRPr="006B4871" w:rsidRDefault="004202B2" w:rsidP="000F7E70">
      <w:pPr>
        <w:autoSpaceDE w:val="0"/>
        <w:jc w:val="both"/>
        <w:rPr>
          <w:b/>
          <w:bCs/>
          <w:lang w:val="en-GB"/>
        </w:rPr>
      </w:pPr>
    </w:p>
    <w:p w:rsidR="002D428F" w:rsidRPr="006B4871" w:rsidRDefault="002D428F" w:rsidP="002D428F">
      <w:pPr>
        <w:autoSpaceDE w:val="0"/>
        <w:jc w:val="both"/>
      </w:pPr>
      <w:r w:rsidRPr="006B4871">
        <w:t xml:space="preserve">The Human Rights Advisory Panel, </w:t>
      </w:r>
      <w:r w:rsidR="008E5D83" w:rsidRPr="006B4871">
        <w:t xml:space="preserve">sitting </w:t>
      </w:r>
      <w:r w:rsidRPr="006B4871">
        <w:t xml:space="preserve">on </w:t>
      </w:r>
      <w:r w:rsidR="006B4871" w:rsidRPr="006B4871">
        <w:t>13</w:t>
      </w:r>
      <w:r w:rsidRPr="006B4871">
        <w:t xml:space="preserve"> </w:t>
      </w:r>
      <w:r w:rsidR="00CE17B7" w:rsidRPr="006B4871">
        <w:t>December</w:t>
      </w:r>
      <w:r w:rsidRPr="006B4871">
        <w:t xml:space="preserve"> 2014,</w:t>
      </w:r>
    </w:p>
    <w:p w:rsidR="002D428F" w:rsidRPr="006B4871" w:rsidRDefault="002D428F" w:rsidP="002D428F">
      <w:pPr>
        <w:autoSpaceDE w:val="0"/>
        <w:jc w:val="both"/>
      </w:pPr>
      <w:proofErr w:type="gramStart"/>
      <w:r w:rsidRPr="006B4871">
        <w:t>with</w:t>
      </w:r>
      <w:proofErr w:type="gramEnd"/>
      <w:r w:rsidRPr="006B4871">
        <w:t xml:space="preserve"> the following members </w:t>
      </w:r>
      <w:r w:rsidR="008E5D83" w:rsidRPr="006B4871">
        <w:t>present</w:t>
      </w:r>
      <w:r w:rsidRPr="006B4871">
        <w:t>:</w:t>
      </w:r>
    </w:p>
    <w:p w:rsidR="002D428F" w:rsidRPr="006B4871" w:rsidRDefault="002D428F" w:rsidP="002D428F">
      <w:pPr>
        <w:autoSpaceDE w:val="0"/>
        <w:jc w:val="both"/>
      </w:pPr>
    </w:p>
    <w:p w:rsidR="002D428F" w:rsidRPr="006B4871" w:rsidRDefault="002D428F" w:rsidP="002D428F">
      <w:pPr>
        <w:autoSpaceDE w:val="0"/>
        <w:jc w:val="both"/>
      </w:pPr>
      <w:r w:rsidRPr="006B4871">
        <w:t>Marek Nowicki, Presiding Member</w:t>
      </w:r>
    </w:p>
    <w:p w:rsidR="002D428F" w:rsidRPr="006B4871" w:rsidRDefault="002D428F" w:rsidP="002D428F">
      <w:pPr>
        <w:autoSpaceDE w:val="0"/>
        <w:jc w:val="both"/>
      </w:pPr>
      <w:r w:rsidRPr="006B4871">
        <w:t>Christine Chinkin</w:t>
      </w:r>
    </w:p>
    <w:p w:rsidR="002D428F" w:rsidRPr="006B4871" w:rsidRDefault="002D428F" w:rsidP="002D428F">
      <w:pPr>
        <w:autoSpaceDE w:val="0"/>
        <w:jc w:val="both"/>
        <w:rPr>
          <w:color w:val="FF0000"/>
        </w:rPr>
      </w:pPr>
      <w:r w:rsidRPr="006B4871">
        <w:t>Françoise Tulkens</w:t>
      </w:r>
    </w:p>
    <w:p w:rsidR="002D428F" w:rsidRPr="006B4871" w:rsidRDefault="002D428F" w:rsidP="002D428F">
      <w:pPr>
        <w:autoSpaceDE w:val="0"/>
        <w:jc w:val="both"/>
      </w:pPr>
    </w:p>
    <w:p w:rsidR="002D428F" w:rsidRPr="006B4871" w:rsidRDefault="002D428F" w:rsidP="002D428F">
      <w:pPr>
        <w:autoSpaceDE w:val="0"/>
        <w:jc w:val="both"/>
      </w:pPr>
      <w:r w:rsidRPr="006B4871">
        <w:t>Assisted by</w:t>
      </w:r>
    </w:p>
    <w:p w:rsidR="002D428F" w:rsidRPr="006B4871" w:rsidRDefault="002D428F" w:rsidP="002D428F">
      <w:pPr>
        <w:autoSpaceDE w:val="0"/>
        <w:jc w:val="both"/>
      </w:pPr>
    </w:p>
    <w:p w:rsidR="002D428F" w:rsidRPr="006B4871" w:rsidRDefault="002D428F" w:rsidP="002D428F">
      <w:pPr>
        <w:autoSpaceDE w:val="0"/>
        <w:jc w:val="both"/>
      </w:pPr>
      <w:r w:rsidRPr="006B4871">
        <w:t>Andrey Antonov, Executive Officer</w:t>
      </w:r>
    </w:p>
    <w:p w:rsidR="002D428F" w:rsidRPr="006B4871" w:rsidRDefault="002D428F" w:rsidP="002D428F">
      <w:pPr>
        <w:autoSpaceDE w:val="0"/>
        <w:jc w:val="both"/>
      </w:pPr>
    </w:p>
    <w:p w:rsidR="002D428F" w:rsidRPr="006B4871" w:rsidRDefault="002D428F" w:rsidP="002D428F">
      <w:pPr>
        <w:autoSpaceDE w:val="0"/>
        <w:jc w:val="both"/>
      </w:pPr>
    </w:p>
    <w:p w:rsidR="002D428F" w:rsidRPr="006B4871" w:rsidRDefault="002D428F" w:rsidP="002D428F">
      <w:pPr>
        <w:autoSpaceDE w:val="0"/>
        <w:jc w:val="both"/>
      </w:pPr>
      <w:r w:rsidRPr="006B4871">
        <w:t>Having consider</w:t>
      </w:r>
      <w:r w:rsidR="00AF5687" w:rsidRPr="006B4871">
        <w:t>ed the aforementioned complaint</w:t>
      </w:r>
      <w:r w:rsidRPr="006B4871">
        <w:t>, introduced pursuant to Section 1.2 of UNMIK Regulation No. 2006/12 of 23 March 2006 on the establishment of the Human Rights Advisory Panel,</w:t>
      </w:r>
    </w:p>
    <w:p w:rsidR="002D428F" w:rsidRPr="006B4871" w:rsidRDefault="002D428F" w:rsidP="002D428F">
      <w:pPr>
        <w:autoSpaceDE w:val="0"/>
        <w:jc w:val="both"/>
      </w:pPr>
    </w:p>
    <w:p w:rsidR="002D428F" w:rsidRPr="006B4871" w:rsidRDefault="002D428F" w:rsidP="002D428F">
      <w:pPr>
        <w:autoSpaceDE w:val="0"/>
        <w:jc w:val="both"/>
      </w:pPr>
      <w:r w:rsidRPr="006B4871">
        <w:t>Havi</w:t>
      </w:r>
      <w:r w:rsidR="008E5D83" w:rsidRPr="006B4871">
        <w:t xml:space="preserve">ng </w:t>
      </w:r>
      <w:proofErr w:type="gramStart"/>
      <w:r w:rsidR="008E5D83" w:rsidRPr="006B4871">
        <w:t>deliberated,</w:t>
      </w:r>
      <w:proofErr w:type="gramEnd"/>
      <w:r w:rsidR="008E5D83" w:rsidRPr="006B4871">
        <w:t xml:space="preserve"> </w:t>
      </w:r>
      <w:r w:rsidRPr="006B4871">
        <w:t>makes the following findings and recommendations:</w:t>
      </w:r>
    </w:p>
    <w:p w:rsidR="00EC2041" w:rsidRPr="006B4871" w:rsidRDefault="00EC2041" w:rsidP="00301DAC">
      <w:pPr>
        <w:autoSpaceDE w:val="0"/>
        <w:jc w:val="both"/>
        <w:rPr>
          <w:lang w:val="en-GB"/>
        </w:rPr>
      </w:pPr>
    </w:p>
    <w:p w:rsidR="00022E69" w:rsidRPr="006B4871" w:rsidRDefault="00022E69" w:rsidP="000F7E70">
      <w:pPr>
        <w:autoSpaceDE w:val="0"/>
        <w:jc w:val="both"/>
        <w:rPr>
          <w:lang w:val="en-GB"/>
        </w:rPr>
      </w:pPr>
    </w:p>
    <w:p w:rsidR="0016154E" w:rsidRPr="006B4871" w:rsidRDefault="0016154E" w:rsidP="00B50188">
      <w:pPr>
        <w:numPr>
          <w:ilvl w:val="0"/>
          <w:numId w:val="1"/>
        </w:numPr>
        <w:suppressAutoHyphens/>
        <w:autoSpaceDE w:val="0"/>
        <w:ind w:left="360" w:hanging="360"/>
        <w:jc w:val="both"/>
        <w:rPr>
          <w:b/>
          <w:bCs/>
          <w:lang w:val="en-GB"/>
        </w:rPr>
      </w:pPr>
      <w:r w:rsidRPr="006B4871">
        <w:rPr>
          <w:b/>
          <w:bCs/>
          <w:lang w:val="en-GB"/>
        </w:rPr>
        <w:t>PROCEEDINGS BEFORE THE PANEL</w:t>
      </w:r>
    </w:p>
    <w:p w:rsidR="00E327E1" w:rsidRPr="006B4871" w:rsidRDefault="00E327E1" w:rsidP="00E327E1">
      <w:pPr>
        <w:pStyle w:val="Default"/>
        <w:ind w:left="360"/>
        <w:jc w:val="both"/>
        <w:rPr>
          <w:color w:val="auto"/>
          <w:lang w:val="en-GB"/>
        </w:rPr>
      </w:pPr>
    </w:p>
    <w:p w:rsidR="00647FB1" w:rsidRPr="006B4871" w:rsidRDefault="00647FB1" w:rsidP="00647FB1">
      <w:pPr>
        <w:pStyle w:val="Default"/>
        <w:numPr>
          <w:ilvl w:val="0"/>
          <w:numId w:val="2"/>
        </w:numPr>
        <w:jc w:val="both"/>
        <w:rPr>
          <w:lang w:val="en-GB"/>
        </w:rPr>
      </w:pPr>
      <w:r w:rsidRPr="006B4871">
        <w:rPr>
          <w:lang w:val="en-GB"/>
        </w:rPr>
        <w:t>The complaint</w:t>
      </w:r>
      <w:r w:rsidR="009D27AD" w:rsidRPr="006B4871">
        <w:rPr>
          <w:lang w:val="en-GB"/>
        </w:rPr>
        <w:t xml:space="preserve"> was introduced </w:t>
      </w:r>
      <w:r w:rsidR="008E5D83" w:rsidRPr="006B4871">
        <w:rPr>
          <w:lang w:val="en-GB"/>
        </w:rPr>
        <w:t>on 7</w:t>
      </w:r>
      <w:r w:rsidR="00DD03C6" w:rsidRPr="006B4871">
        <w:rPr>
          <w:lang w:val="en-GB"/>
        </w:rPr>
        <w:t xml:space="preserve"> April 2009 and registered on 30 April 2009</w:t>
      </w:r>
      <w:r w:rsidRPr="006B4871">
        <w:rPr>
          <w:lang w:val="en-GB"/>
        </w:rPr>
        <w:t xml:space="preserve">. </w:t>
      </w:r>
    </w:p>
    <w:p w:rsidR="00647FB1" w:rsidRPr="006B4871" w:rsidRDefault="00647FB1" w:rsidP="00C45577">
      <w:pPr>
        <w:pStyle w:val="Default"/>
        <w:jc w:val="both"/>
        <w:rPr>
          <w:lang w:val="en-GB"/>
        </w:rPr>
      </w:pPr>
    </w:p>
    <w:p w:rsidR="00A62C6D" w:rsidRPr="006B4871" w:rsidRDefault="008E5D83" w:rsidP="00A62C6D">
      <w:pPr>
        <w:numPr>
          <w:ilvl w:val="0"/>
          <w:numId w:val="2"/>
        </w:numPr>
        <w:jc w:val="both"/>
      </w:pPr>
      <w:r w:rsidRPr="006B4871">
        <w:rPr>
          <w:lang w:val="en-GB"/>
        </w:rPr>
        <w:t>On 23 December 2009 and 20 July 2011</w:t>
      </w:r>
      <w:r w:rsidR="00DD03C6" w:rsidRPr="006B4871">
        <w:rPr>
          <w:lang w:val="en-GB"/>
        </w:rPr>
        <w:t xml:space="preserve">, the Panel requested the complainant to provide additional information. </w:t>
      </w:r>
      <w:r w:rsidR="00A62C6D" w:rsidRPr="006B4871">
        <w:t>No response was received from the complainant.</w:t>
      </w:r>
    </w:p>
    <w:p w:rsidR="002E0AF3" w:rsidRPr="006B4871" w:rsidRDefault="002E0AF3" w:rsidP="00A62C6D">
      <w:pPr>
        <w:pStyle w:val="Default"/>
        <w:ind w:left="360"/>
        <w:jc w:val="both"/>
        <w:rPr>
          <w:lang w:val="en-GB"/>
        </w:rPr>
      </w:pPr>
    </w:p>
    <w:p w:rsidR="002E0AF3" w:rsidRPr="006B4871" w:rsidRDefault="009D27AD" w:rsidP="00284A77">
      <w:pPr>
        <w:numPr>
          <w:ilvl w:val="0"/>
          <w:numId w:val="2"/>
        </w:numPr>
        <w:jc w:val="both"/>
        <w:rPr>
          <w:b/>
          <w:lang w:val="en-GB"/>
        </w:rPr>
      </w:pPr>
      <w:r w:rsidRPr="006B4871">
        <w:rPr>
          <w:lang w:val="en-GB"/>
        </w:rPr>
        <w:t xml:space="preserve">On </w:t>
      </w:r>
      <w:r w:rsidR="00622236" w:rsidRPr="006B4871">
        <w:rPr>
          <w:lang w:val="en-GB"/>
        </w:rPr>
        <w:t>2</w:t>
      </w:r>
      <w:r w:rsidR="002948A6" w:rsidRPr="006B4871">
        <w:rPr>
          <w:lang w:val="en-GB"/>
        </w:rPr>
        <w:t xml:space="preserve"> </w:t>
      </w:r>
      <w:r w:rsidR="008E5D83" w:rsidRPr="006B4871">
        <w:rPr>
          <w:lang w:val="en-GB"/>
        </w:rPr>
        <w:t>February</w:t>
      </w:r>
      <w:r w:rsidR="00DD03C6" w:rsidRPr="006B4871">
        <w:rPr>
          <w:lang w:val="en-GB"/>
        </w:rPr>
        <w:t xml:space="preserve"> </w:t>
      </w:r>
      <w:r w:rsidR="008E5D83" w:rsidRPr="006B4871">
        <w:rPr>
          <w:lang w:val="en-GB"/>
        </w:rPr>
        <w:t>2012</w:t>
      </w:r>
      <w:r w:rsidR="002E0AF3" w:rsidRPr="006B4871">
        <w:rPr>
          <w:lang w:val="en-GB"/>
        </w:rPr>
        <w:t>, the complaint was communicated to the Special Representative of the Secretary-General (SRSG)</w:t>
      </w:r>
      <w:r w:rsidR="00022E69" w:rsidRPr="006B4871">
        <w:rPr>
          <w:rStyle w:val="FootnoteReference"/>
          <w:lang w:val="en-GB"/>
        </w:rPr>
        <w:footnoteReference w:id="1"/>
      </w:r>
      <w:r w:rsidR="002E0AF3" w:rsidRPr="006B4871">
        <w:rPr>
          <w:lang w:val="en-GB"/>
        </w:rPr>
        <w:t>, for UNMIK’s comments on the admi</w:t>
      </w:r>
      <w:r w:rsidR="00647FB1" w:rsidRPr="006B4871">
        <w:rPr>
          <w:lang w:val="en-GB"/>
        </w:rPr>
        <w:t xml:space="preserve">ssibility of the complaint. On </w:t>
      </w:r>
      <w:r w:rsidR="008E5D83" w:rsidRPr="006B4871">
        <w:rPr>
          <w:lang w:val="en-GB"/>
        </w:rPr>
        <w:t>5</w:t>
      </w:r>
      <w:r w:rsidR="00DD03C6" w:rsidRPr="006B4871">
        <w:rPr>
          <w:lang w:val="en-GB"/>
        </w:rPr>
        <w:t xml:space="preserve"> </w:t>
      </w:r>
      <w:r w:rsidR="008E5D83" w:rsidRPr="006B4871">
        <w:rPr>
          <w:lang w:val="en-GB"/>
        </w:rPr>
        <w:t>March</w:t>
      </w:r>
      <w:r w:rsidR="00DD03C6" w:rsidRPr="006B4871">
        <w:rPr>
          <w:lang w:val="en-GB"/>
        </w:rPr>
        <w:t xml:space="preserve"> </w:t>
      </w:r>
      <w:r w:rsidR="008E5D83" w:rsidRPr="006B4871">
        <w:rPr>
          <w:lang w:val="en-GB"/>
        </w:rPr>
        <w:t>2012</w:t>
      </w:r>
      <w:r w:rsidR="002E0AF3" w:rsidRPr="006B4871">
        <w:rPr>
          <w:lang w:val="en-GB"/>
        </w:rPr>
        <w:t xml:space="preserve">, </w:t>
      </w:r>
      <w:r w:rsidR="00E35F59" w:rsidRPr="006B4871">
        <w:rPr>
          <w:lang w:val="en-GB"/>
        </w:rPr>
        <w:t>the SRSG submitted UNMIK’s</w:t>
      </w:r>
      <w:r w:rsidR="002E0AF3" w:rsidRPr="006B4871">
        <w:rPr>
          <w:lang w:val="en-GB"/>
        </w:rPr>
        <w:t xml:space="preserve"> response. </w:t>
      </w:r>
    </w:p>
    <w:p w:rsidR="00E327E1" w:rsidRPr="006B4871" w:rsidRDefault="00E327E1" w:rsidP="00647FB1">
      <w:pPr>
        <w:rPr>
          <w:lang w:val="en-GB"/>
        </w:rPr>
      </w:pPr>
    </w:p>
    <w:p w:rsidR="00E327E1" w:rsidRPr="006B4871" w:rsidRDefault="00E327E1" w:rsidP="00B50188">
      <w:pPr>
        <w:numPr>
          <w:ilvl w:val="0"/>
          <w:numId w:val="2"/>
        </w:numPr>
        <w:jc w:val="both"/>
        <w:rPr>
          <w:b/>
          <w:lang w:val="en-GB"/>
        </w:rPr>
      </w:pPr>
      <w:r w:rsidRPr="006B4871">
        <w:rPr>
          <w:lang w:val="en-GB"/>
        </w:rPr>
        <w:t xml:space="preserve">On </w:t>
      </w:r>
      <w:r w:rsidR="008E5D83" w:rsidRPr="006B4871">
        <w:rPr>
          <w:lang w:val="en-GB"/>
        </w:rPr>
        <w:t>11</w:t>
      </w:r>
      <w:r w:rsidR="002948A6" w:rsidRPr="006B4871">
        <w:rPr>
          <w:lang w:val="en-GB"/>
        </w:rPr>
        <w:t xml:space="preserve"> </w:t>
      </w:r>
      <w:r w:rsidR="008E5D83" w:rsidRPr="006B4871">
        <w:rPr>
          <w:lang w:val="en-GB"/>
        </w:rPr>
        <w:t>May</w:t>
      </w:r>
      <w:r w:rsidR="00622236" w:rsidRPr="006B4871">
        <w:rPr>
          <w:lang w:val="en-GB"/>
        </w:rPr>
        <w:t xml:space="preserve"> </w:t>
      </w:r>
      <w:r w:rsidRPr="006B4871">
        <w:rPr>
          <w:lang w:val="en-GB"/>
        </w:rPr>
        <w:t>201</w:t>
      </w:r>
      <w:r w:rsidR="008E5D83" w:rsidRPr="006B4871">
        <w:rPr>
          <w:lang w:val="en-GB"/>
        </w:rPr>
        <w:t>2</w:t>
      </w:r>
      <w:r w:rsidRPr="006B4871">
        <w:rPr>
          <w:lang w:val="en-GB"/>
        </w:rPr>
        <w:t>, t</w:t>
      </w:r>
      <w:r w:rsidR="007766DD" w:rsidRPr="006B4871">
        <w:rPr>
          <w:lang w:val="en-GB"/>
        </w:rPr>
        <w:t>he Panel declared the complaint</w:t>
      </w:r>
      <w:r w:rsidRPr="006B4871">
        <w:rPr>
          <w:lang w:val="en-GB"/>
        </w:rPr>
        <w:t xml:space="preserve"> admissible</w:t>
      </w:r>
      <w:r w:rsidR="004865D9" w:rsidRPr="006B4871">
        <w:t>.</w:t>
      </w:r>
    </w:p>
    <w:p w:rsidR="00E327E1" w:rsidRPr="006B4871" w:rsidRDefault="00E327E1" w:rsidP="00E327E1">
      <w:pPr>
        <w:pStyle w:val="Default"/>
        <w:ind w:left="360"/>
        <w:jc w:val="both"/>
        <w:rPr>
          <w:color w:val="auto"/>
          <w:lang w:val="en-GB"/>
        </w:rPr>
      </w:pPr>
    </w:p>
    <w:p w:rsidR="00672847" w:rsidRPr="006B4871" w:rsidRDefault="00F855B3" w:rsidP="00622236">
      <w:pPr>
        <w:widowControl w:val="0"/>
        <w:numPr>
          <w:ilvl w:val="0"/>
          <w:numId w:val="2"/>
        </w:numPr>
        <w:tabs>
          <w:tab w:val="left" w:pos="1080"/>
        </w:tabs>
        <w:suppressAutoHyphens/>
        <w:jc w:val="both"/>
        <w:rPr>
          <w:lang w:val="en-GB"/>
        </w:rPr>
      </w:pPr>
      <w:r w:rsidRPr="006B4871">
        <w:rPr>
          <w:lang w:val="en-GB"/>
        </w:rPr>
        <w:t xml:space="preserve">On </w:t>
      </w:r>
      <w:r w:rsidR="008E5D83" w:rsidRPr="006B4871">
        <w:rPr>
          <w:lang w:val="en-GB"/>
        </w:rPr>
        <w:t>17</w:t>
      </w:r>
      <w:r w:rsidR="00ED668C" w:rsidRPr="006B4871">
        <w:rPr>
          <w:lang w:val="en-GB"/>
        </w:rPr>
        <w:t xml:space="preserve"> </w:t>
      </w:r>
      <w:r w:rsidR="008E5D83" w:rsidRPr="006B4871">
        <w:rPr>
          <w:lang w:val="en-GB"/>
        </w:rPr>
        <w:t>May 2012</w:t>
      </w:r>
      <w:r w:rsidR="00E327E1" w:rsidRPr="006B4871">
        <w:rPr>
          <w:lang w:val="en-GB"/>
        </w:rPr>
        <w:t xml:space="preserve">, </w:t>
      </w:r>
      <w:r w:rsidRPr="006B4871">
        <w:rPr>
          <w:lang w:val="en-GB"/>
        </w:rPr>
        <w:t>the Panel forwarded its decision to the SRSG requesting UNMIK’s comments on the merits of the complaint</w:t>
      </w:r>
      <w:r w:rsidR="00672847" w:rsidRPr="006B4871">
        <w:rPr>
          <w:lang w:val="en-GB"/>
        </w:rPr>
        <w:t>, as well as copies of the investigative files relevant to the case.</w:t>
      </w:r>
      <w:r w:rsidR="008E5D83" w:rsidRPr="006B4871">
        <w:rPr>
          <w:lang w:val="en-GB"/>
        </w:rPr>
        <w:t xml:space="preserve"> On 28</w:t>
      </w:r>
      <w:r w:rsidR="002948A6" w:rsidRPr="006B4871">
        <w:rPr>
          <w:lang w:val="en-GB"/>
        </w:rPr>
        <w:t xml:space="preserve"> </w:t>
      </w:r>
      <w:r w:rsidR="008E5D83" w:rsidRPr="006B4871">
        <w:rPr>
          <w:lang w:val="en-GB"/>
        </w:rPr>
        <w:t>February 2013</w:t>
      </w:r>
      <w:r w:rsidR="002948A6" w:rsidRPr="006B4871">
        <w:rPr>
          <w:lang w:val="en-GB"/>
        </w:rPr>
        <w:t xml:space="preserve">, </w:t>
      </w:r>
      <w:r w:rsidR="00CC6B19" w:rsidRPr="006B4871">
        <w:rPr>
          <w:lang w:val="en-GB"/>
        </w:rPr>
        <w:t>the SRSG provided UNMIK’s comments</w:t>
      </w:r>
      <w:r w:rsidR="009F6CF5" w:rsidRPr="006B4871">
        <w:rPr>
          <w:lang w:val="en-GB"/>
        </w:rPr>
        <w:t xml:space="preserve"> on the merits of the </w:t>
      </w:r>
      <w:r w:rsidR="00672847" w:rsidRPr="006B4871">
        <w:rPr>
          <w:lang w:val="en-GB"/>
        </w:rPr>
        <w:t xml:space="preserve">complaint, </w:t>
      </w:r>
      <w:r w:rsidR="0098749A" w:rsidRPr="006B4871">
        <w:rPr>
          <w:lang w:val="en-GB"/>
        </w:rPr>
        <w:t xml:space="preserve">together with </w:t>
      </w:r>
      <w:r w:rsidR="002948A6" w:rsidRPr="006B4871">
        <w:rPr>
          <w:lang w:val="en-GB"/>
        </w:rPr>
        <w:t>copies of</w:t>
      </w:r>
      <w:r w:rsidR="00954A3E" w:rsidRPr="006B4871">
        <w:rPr>
          <w:lang w:val="en-GB"/>
        </w:rPr>
        <w:t xml:space="preserve"> the</w:t>
      </w:r>
      <w:r w:rsidR="002948A6" w:rsidRPr="006B4871">
        <w:rPr>
          <w:lang w:val="en-GB"/>
        </w:rPr>
        <w:t xml:space="preserve"> investigative files</w:t>
      </w:r>
      <w:r w:rsidR="00CC6B19" w:rsidRPr="006B4871">
        <w:rPr>
          <w:lang w:val="en-GB"/>
        </w:rPr>
        <w:t>.</w:t>
      </w:r>
    </w:p>
    <w:p w:rsidR="00CE1F33" w:rsidRPr="006B4871" w:rsidRDefault="00CE1F33" w:rsidP="00CE1F33">
      <w:pPr>
        <w:pStyle w:val="ListParagraph"/>
        <w:rPr>
          <w:lang w:val="en-GB"/>
        </w:rPr>
      </w:pPr>
    </w:p>
    <w:p w:rsidR="00CE1F33" w:rsidRPr="006B4871" w:rsidRDefault="00647FB1" w:rsidP="00B50188">
      <w:pPr>
        <w:pStyle w:val="Default"/>
        <w:numPr>
          <w:ilvl w:val="0"/>
          <w:numId w:val="2"/>
        </w:numPr>
        <w:jc w:val="both"/>
        <w:rPr>
          <w:color w:val="auto"/>
          <w:lang w:val="en-GB"/>
        </w:rPr>
      </w:pPr>
      <w:bookmarkStart w:id="1" w:name="_Ref373944367"/>
      <w:r w:rsidRPr="006B4871">
        <w:rPr>
          <w:color w:val="auto"/>
          <w:lang w:val="en-GB"/>
        </w:rPr>
        <w:t xml:space="preserve">On </w:t>
      </w:r>
      <w:r w:rsidR="00AF5687" w:rsidRPr="006B4871">
        <w:rPr>
          <w:color w:val="auto"/>
          <w:lang w:val="en-GB"/>
        </w:rPr>
        <w:t>18</w:t>
      </w:r>
      <w:r w:rsidR="00A62C6D" w:rsidRPr="006B4871">
        <w:rPr>
          <w:color w:val="auto"/>
          <w:lang w:val="en-GB"/>
        </w:rPr>
        <w:t xml:space="preserve"> November</w:t>
      </w:r>
      <w:r w:rsidR="00EF14C3" w:rsidRPr="006B4871">
        <w:rPr>
          <w:color w:val="auto"/>
          <w:lang w:val="en-GB"/>
        </w:rPr>
        <w:t xml:space="preserve"> </w:t>
      </w:r>
      <w:r w:rsidR="00ED668C" w:rsidRPr="006B4871">
        <w:rPr>
          <w:color w:val="auto"/>
          <w:lang w:val="en-GB"/>
        </w:rPr>
        <w:t>2014</w:t>
      </w:r>
      <w:r w:rsidR="00CE1F33" w:rsidRPr="006B4871">
        <w:rPr>
          <w:color w:val="auto"/>
          <w:lang w:val="en-GB"/>
        </w:rPr>
        <w:t>, the Pa</w:t>
      </w:r>
      <w:r w:rsidR="00764FB4" w:rsidRPr="006B4871">
        <w:rPr>
          <w:color w:val="auto"/>
          <w:lang w:val="en-GB"/>
        </w:rPr>
        <w:t>nel requested UNMIK to confirm i</w:t>
      </w:r>
      <w:r w:rsidR="00CE1F33" w:rsidRPr="006B4871">
        <w:rPr>
          <w:color w:val="auto"/>
          <w:lang w:val="en-GB"/>
        </w:rPr>
        <w:t>f the disclosure of files concerning the case could be considered final.</w:t>
      </w:r>
      <w:r w:rsidR="00121E9E" w:rsidRPr="006B4871">
        <w:rPr>
          <w:color w:val="auto"/>
          <w:lang w:val="en-GB"/>
        </w:rPr>
        <w:t xml:space="preserve"> </w:t>
      </w:r>
      <w:bookmarkStart w:id="2" w:name="_Ref368060542"/>
      <w:r w:rsidR="00AF5687" w:rsidRPr="006B4871">
        <w:rPr>
          <w:color w:val="auto"/>
          <w:lang w:val="en-GB"/>
        </w:rPr>
        <w:t>On 20 November</w:t>
      </w:r>
      <w:r w:rsidR="00E84691" w:rsidRPr="006B4871">
        <w:rPr>
          <w:color w:val="auto"/>
          <w:lang w:val="en-GB"/>
        </w:rPr>
        <w:t xml:space="preserve"> </w:t>
      </w:r>
      <w:r w:rsidR="002948A6" w:rsidRPr="006B4871">
        <w:rPr>
          <w:color w:val="auto"/>
          <w:lang w:val="en-GB"/>
        </w:rPr>
        <w:t>2014</w:t>
      </w:r>
      <w:r w:rsidR="00CE1F33" w:rsidRPr="006B4871">
        <w:rPr>
          <w:color w:val="auto"/>
          <w:lang w:val="en-GB"/>
        </w:rPr>
        <w:t>, UNMIK provided its response</w:t>
      </w:r>
      <w:bookmarkEnd w:id="1"/>
      <w:bookmarkEnd w:id="2"/>
      <w:r w:rsidR="002948A6" w:rsidRPr="006B4871">
        <w:rPr>
          <w:color w:val="auto"/>
          <w:lang w:val="en-GB"/>
        </w:rPr>
        <w:t>.</w:t>
      </w:r>
    </w:p>
    <w:p w:rsidR="00121E9E" w:rsidRPr="006B4871" w:rsidRDefault="00121E9E" w:rsidP="001F3C32">
      <w:pPr>
        <w:rPr>
          <w:lang w:val="en-GB"/>
        </w:rPr>
      </w:pPr>
    </w:p>
    <w:p w:rsidR="00121E9E" w:rsidRPr="006B4871" w:rsidRDefault="00121E9E" w:rsidP="008766C9">
      <w:pPr>
        <w:pStyle w:val="ListParagraph"/>
        <w:rPr>
          <w:lang w:val="en-GB"/>
        </w:rPr>
      </w:pPr>
    </w:p>
    <w:p w:rsidR="000F6E16" w:rsidRPr="006B4871" w:rsidRDefault="007C65E0" w:rsidP="00B50188">
      <w:pPr>
        <w:numPr>
          <w:ilvl w:val="0"/>
          <w:numId w:val="1"/>
        </w:numPr>
        <w:suppressAutoHyphens/>
        <w:autoSpaceDE w:val="0"/>
        <w:ind w:left="360" w:hanging="360"/>
        <w:jc w:val="both"/>
        <w:rPr>
          <w:b/>
          <w:bCs/>
          <w:lang w:val="en-GB"/>
        </w:rPr>
      </w:pPr>
      <w:r w:rsidRPr="006B4871">
        <w:rPr>
          <w:b/>
          <w:bCs/>
          <w:lang w:val="en-GB"/>
        </w:rPr>
        <w:t>THE FACTS</w:t>
      </w:r>
    </w:p>
    <w:p w:rsidR="000F6E16" w:rsidRPr="006B4871" w:rsidRDefault="000F6E16" w:rsidP="000F6E16">
      <w:pPr>
        <w:suppressAutoHyphens/>
        <w:autoSpaceDE w:val="0"/>
        <w:ind w:left="360"/>
        <w:jc w:val="both"/>
        <w:rPr>
          <w:b/>
          <w:bCs/>
          <w:lang w:val="en-GB"/>
        </w:rPr>
      </w:pPr>
    </w:p>
    <w:p w:rsidR="00680EF0" w:rsidRPr="006B4871" w:rsidRDefault="00680EF0" w:rsidP="00B50188">
      <w:pPr>
        <w:numPr>
          <w:ilvl w:val="0"/>
          <w:numId w:val="3"/>
        </w:numPr>
        <w:contextualSpacing/>
        <w:jc w:val="both"/>
        <w:rPr>
          <w:b/>
          <w:lang w:val="en-GB"/>
        </w:rPr>
      </w:pPr>
      <w:r w:rsidRPr="006B4871">
        <w:rPr>
          <w:b/>
          <w:lang w:val="en-GB"/>
        </w:rPr>
        <w:t>General background</w:t>
      </w:r>
      <w:r w:rsidRPr="006B4871">
        <w:rPr>
          <w:rStyle w:val="FootnoteReference"/>
          <w:b/>
          <w:lang w:val="en-GB"/>
        </w:rPr>
        <w:footnoteReference w:id="2"/>
      </w:r>
      <w:r w:rsidRPr="006B4871">
        <w:rPr>
          <w:b/>
          <w:lang w:val="en-GB"/>
        </w:rPr>
        <w:t xml:space="preserve"> </w:t>
      </w:r>
    </w:p>
    <w:p w:rsidR="00680EF0" w:rsidRPr="006B4871" w:rsidRDefault="00680EF0" w:rsidP="00680EF0">
      <w:pPr>
        <w:ind w:left="360"/>
        <w:contextualSpacing/>
        <w:jc w:val="both"/>
        <w:rPr>
          <w:b/>
          <w:lang w:val="en-GB"/>
        </w:rPr>
      </w:pPr>
    </w:p>
    <w:p w:rsidR="00574094" w:rsidRPr="006B4871" w:rsidRDefault="00574094" w:rsidP="00574094">
      <w:pPr>
        <w:pStyle w:val="ListParagraph"/>
        <w:numPr>
          <w:ilvl w:val="0"/>
          <w:numId w:val="2"/>
        </w:numPr>
        <w:jc w:val="both"/>
        <w:rPr>
          <w:lang w:val="en-GB"/>
        </w:rPr>
      </w:pPr>
      <w:r w:rsidRPr="006B4871">
        <w:rPr>
          <w:lang w:val="en-GB"/>
        </w:rPr>
        <w:t>The events at issue took place in the territory of Kosovo</w:t>
      </w:r>
      <w:r w:rsidR="002948A6" w:rsidRPr="006B4871">
        <w:rPr>
          <w:lang w:val="en-GB"/>
        </w:rPr>
        <w:t xml:space="preserve"> </w:t>
      </w:r>
      <w:r w:rsidR="00622236" w:rsidRPr="006B4871">
        <w:rPr>
          <w:lang w:val="en-GB"/>
        </w:rPr>
        <w:t>shortly</w:t>
      </w:r>
      <w:r w:rsidRPr="006B4871">
        <w:rPr>
          <w:lang w:val="en-GB"/>
        </w:rPr>
        <w:t xml:space="preserve"> after the establishment in June 1999 of the United Nations Interim Administration Mission in Kosovo (UNMIK).</w:t>
      </w:r>
    </w:p>
    <w:p w:rsidR="00C75A82" w:rsidRPr="006B4871" w:rsidRDefault="00C75A82" w:rsidP="00C75A82">
      <w:pPr>
        <w:tabs>
          <w:tab w:val="left" w:pos="360"/>
        </w:tabs>
        <w:ind w:left="360" w:hanging="360"/>
        <w:jc w:val="both"/>
        <w:rPr>
          <w:lang w:val="en-GB"/>
        </w:rPr>
      </w:pPr>
    </w:p>
    <w:p w:rsidR="00C75A82" w:rsidRPr="006B4871" w:rsidRDefault="00C75A82" w:rsidP="00B50188">
      <w:pPr>
        <w:widowControl w:val="0"/>
        <w:numPr>
          <w:ilvl w:val="0"/>
          <w:numId w:val="2"/>
        </w:numPr>
        <w:tabs>
          <w:tab w:val="left" w:pos="1080"/>
        </w:tabs>
        <w:suppressAutoHyphens/>
        <w:jc w:val="both"/>
        <w:rPr>
          <w:lang w:val="en-GB"/>
        </w:rPr>
      </w:pPr>
      <w:r w:rsidRPr="006B4871">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w:t>
      </w:r>
      <w:r w:rsidRPr="006B4871">
        <w:rPr>
          <w:lang w:val="en-GB"/>
        </w:rPr>
        <w:lastRenderedPageBreak/>
        <w:t>security force following an appropriate UN Security Council Resolution.</w:t>
      </w:r>
    </w:p>
    <w:p w:rsidR="00C75A82" w:rsidRPr="006B4871" w:rsidRDefault="00C75A82" w:rsidP="00C75A82">
      <w:pPr>
        <w:tabs>
          <w:tab w:val="left" w:pos="360"/>
        </w:tabs>
        <w:ind w:left="360" w:hanging="360"/>
        <w:jc w:val="both"/>
        <w:rPr>
          <w:lang w:val="en-GB"/>
        </w:rPr>
      </w:pPr>
    </w:p>
    <w:p w:rsidR="00C75A82" w:rsidRPr="006B4871" w:rsidRDefault="00FE0FB0" w:rsidP="00FE0FB0">
      <w:pPr>
        <w:pStyle w:val="ListParagraph"/>
        <w:numPr>
          <w:ilvl w:val="0"/>
          <w:numId w:val="2"/>
        </w:numPr>
        <w:suppressAutoHyphens w:val="0"/>
        <w:contextualSpacing/>
        <w:jc w:val="both"/>
        <w:rPr>
          <w:lang w:val="en-GB"/>
        </w:rPr>
      </w:pPr>
      <w:bookmarkStart w:id="3" w:name="_Ref373941473"/>
      <w:r w:rsidRPr="006B4871">
        <w:rPr>
          <w:lang w:val="en-GB"/>
        </w:rPr>
        <w:t>O</w:t>
      </w:r>
      <w:r w:rsidR="00C75A82" w:rsidRPr="006B4871">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6B4871" w:rsidRDefault="00C75A82" w:rsidP="00C75A82">
      <w:pPr>
        <w:tabs>
          <w:tab w:val="left" w:pos="360"/>
        </w:tabs>
        <w:ind w:left="360" w:hanging="360"/>
        <w:jc w:val="both"/>
        <w:rPr>
          <w:lang w:val="en-GB"/>
        </w:rPr>
      </w:pPr>
    </w:p>
    <w:p w:rsidR="00C75A82" w:rsidRPr="006B4871" w:rsidRDefault="00C75A82" w:rsidP="00B50188">
      <w:pPr>
        <w:pStyle w:val="ListParagraph"/>
        <w:numPr>
          <w:ilvl w:val="0"/>
          <w:numId w:val="2"/>
        </w:numPr>
        <w:suppressAutoHyphens w:val="0"/>
        <w:contextualSpacing/>
        <w:jc w:val="both"/>
        <w:rPr>
          <w:lang w:val="en-GB"/>
        </w:rPr>
      </w:pPr>
      <w:r w:rsidRPr="006B4871">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6B4871" w:rsidRDefault="00C75A82" w:rsidP="00C75A82">
      <w:pPr>
        <w:pStyle w:val="ListParagraph"/>
        <w:tabs>
          <w:tab w:val="left" w:pos="360"/>
        </w:tabs>
        <w:ind w:left="360" w:hanging="360"/>
        <w:rPr>
          <w:lang w:val="en-GB"/>
        </w:rPr>
      </w:pPr>
    </w:p>
    <w:p w:rsidR="00C75A82" w:rsidRPr="006B4871" w:rsidRDefault="00C75A82" w:rsidP="00B50188">
      <w:pPr>
        <w:pStyle w:val="ListParagraph"/>
        <w:numPr>
          <w:ilvl w:val="0"/>
          <w:numId w:val="2"/>
        </w:numPr>
        <w:suppressAutoHyphens w:val="0"/>
        <w:contextualSpacing/>
        <w:jc w:val="both"/>
        <w:rPr>
          <w:lang w:val="en-GB"/>
        </w:rPr>
      </w:pPr>
      <w:r w:rsidRPr="006B487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6B4871" w:rsidRDefault="00C75A82" w:rsidP="00C75A82">
      <w:pPr>
        <w:pStyle w:val="ListParagraph"/>
        <w:tabs>
          <w:tab w:val="left" w:pos="360"/>
        </w:tabs>
        <w:ind w:left="360" w:hanging="360"/>
        <w:rPr>
          <w:lang w:val="en-GB"/>
        </w:rPr>
      </w:pPr>
    </w:p>
    <w:p w:rsidR="00C75A82" w:rsidRPr="006B4871" w:rsidRDefault="00C75A82" w:rsidP="00B50188">
      <w:pPr>
        <w:pStyle w:val="ListParagraph"/>
        <w:numPr>
          <w:ilvl w:val="0"/>
          <w:numId w:val="2"/>
        </w:numPr>
        <w:suppressAutoHyphens w:val="0"/>
        <w:contextualSpacing/>
        <w:jc w:val="both"/>
        <w:rPr>
          <w:lang w:val="en-GB"/>
        </w:rPr>
      </w:pPr>
      <w:r w:rsidRPr="006B487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6B4871" w:rsidRDefault="00C75A82" w:rsidP="00C75A82">
      <w:pPr>
        <w:tabs>
          <w:tab w:val="left" w:pos="360"/>
        </w:tabs>
        <w:ind w:left="360" w:hanging="360"/>
        <w:jc w:val="both"/>
        <w:rPr>
          <w:lang w:val="en-GB"/>
        </w:rPr>
      </w:pPr>
    </w:p>
    <w:p w:rsidR="00C75A82" w:rsidRPr="006B4871" w:rsidRDefault="00C75A82" w:rsidP="00B50188">
      <w:pPr>
        <w:numPr>
          <w:ilvl w:val="0"/>
          <w:numId w:val="2"/>
        </w:numPr>
        <w:jc w:val="both"/>
        <w:rPr>
          <w:lang w:val="en-GB"/>
        </w:rPr>
      </w:pPr>
      <w:r w:rsidRPr="006B487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6B4871">
        <w:rPr>
          <w:lang w:val="en-GB"/>
        </w:rPr>
        <w:lastRenderedPageBreak/>
        <w:t xml:space="preserve">development of a Kosovo police service. By September 1999, approximately 1,100 international police officers had been deployed to UNMIK.  </w:t>
      </w:r>
    </w:p>
    <w:p w:rsidR="00C75A82" w:rsidRPr="006B4871" w:rsidRDefault="00C75A82" w:rsidP="00C75A82">
      <w:pPr>
        <w:pStyle w:val="ListParagraph"/>
        <w:tabs>
          <w:tab w:val="left" w:pos="360"/>
        </w:tabs>
        <w:ind w:left="360" w:hanging="360"/>
        <w:rPr>
          <w:lang w:val="en-GB"/>
        </w:rPr>
      </w:pPr>
    </w:p>
    <w:p w:rsidR="00C75A82" w:rsidRPr="006B4871" w:rsidRDefault="00C75A82" w:rsidP="00B50188">
      <w:pPr>
        <w:numPr>
          <w:ilvl w:val="0"/>
          <w:numId w:val="2"/>
        </w:numPr>
        <w:jc w:val="both"/>
        <w:rPr>
          <w:lang w:val="en-GB"/>
        </w:rPr>
      </w:pPr>
      <w:bookmarkStart w:id="4" w:name="_Ref346725038"/>
      <w:r w:rsidRPr="006B487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6B4871">
        <w:rPr>
          <w:lang w:val="en-GB"/>
        </w:rPr>
        <w:t xml:space="preserve"> </w:t>
      </w:r>
    </w:p>
    <w:p w:rsidR="00C75A82" w:rsidRPr="006B4871" w:rsidRDefault="00C75A82" w:rsidP="00C75A82">
      <w:pPr>
        <w:tabs>
          <w:tab w:val="left" w:pos="360"/>
        </w:tabs>
        <w:ind w:left="360" w:hanging="360"/>
        <w:jc w:val="both"/>
        <w:rPr>
          <w:lang w:val="en-GB"/>
        </w:rPr>
      </w:pPr>
    </w:p>
    <w:p w:rsidR="00C75A82" w:rsidRPr="006B4871" w:rsidRDefault="00C75A82" w:rsidP="00B50188">
      <w:pPr>
        <w:numPr>
          <w:ilvl w:val="0"/>
          <w:numId w:val="2"/>
        </w:numPr>
        <w:jc w:val="both"/>
        <w:rPr>
          <w:lang w:val="en-GB"/>
        </w:rPr>
      </w:pPr>
      <w:bookmarkStart w:id="5" w:name="_Ref346123767"/>
      <w:r w:rsidRPr="006B487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6B4871">
        <w:rPr>
          <w:lang w:val="en-GB"/>
        </w:rPr>
        <w:t xml:space="preserve"> </w:t>
      </w:r>
    </w:p>
    <w:p w:rsidR="00C75A82" w:rsidRPr="006B4871" w:rsidRDefault="00C75A82" w:rsidP="00C75A82">
      <w:pPr>
        <w:tabs>
          <w:tab w:val="left" w:pos="360"/>
        </w:tabs>
        <w:ind w:left="360" w:hanging="360"/>
        <w:jc w:val="both"/>
        <w:rPr>
          <w:lang w:val="en-GB"/>
        </w:rPr>
      </w:pPr>
    </w:p>
    <w:p w:rsidR="00C75A82" w:rsidRPr="006B4871" w:rsidRDefault="00C75A82" w:rsidP="00B50188">
      <w:pPr>
        <w:numPr>
          <w:ilvl w:val="0"/>
          <w:numId w:val="2"/>
        </w:numPr>
        <w:jc w:val="both"/>
        <w:rPr>
          <w:lang w:val="en-GB"/>
        </w:rPr>
      </w:pPr>
      <w:bookmarkStart w:id="6" w:name="_Ref346725040"/>
      <w:r w:rsidRPr="006B487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6B4871">
        <w:rPr>
          <w:lang w:val="en-GB"/>
        </w:rPr>
        <w:t>persons</w:t>
      </w:r>
      <w:proofErr w:type="gramEnd"/>
      <w:r w:rsidRPr="006B4871">
        <w:rPr>
          <w:lang w:val="en-GB"/>
        </w:rPr>
        <w:t xml:space="preserve"> cases in Kosovo. In May 2000, a Victim Recovery and Identification Commission (VRIC) chaired by UNMIK </w:t>
      </w:r>
      <w:proofErr w:type="gramStart"/>
      <w:r w:rsidRPr="006B4871">
        <w:rPr>
          <w:lang w:val="en-GB"/>
        </w:rPr>
        <w:t>was</w:t>
      </w:r>
      <w:proofErr w:type="gramEnd"/>
      <w:r w:rsidRPr="006B4871">
        <w:rPr>
          <w:lang w:val="en-GB"/>
        </w:rPr>
        <w:t xml:space="preserve"> created for the recovery, identification and disposition of mortal remains.</w:t>
      </w:r>
      <w:r w:rsidR="00423598" w:rsidRPr="006B4871">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6B4871">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6B4871">
        <w:rPr>
          <w:lang w:val="en-GB"/>
        </w:rPr>
        <w:t>persons,</w:t>
      </w:r>
      <w:proofErr w:type="gramEnd"/>
      <w:r w:rsidRPr="006B4871">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6B4871">
        <w:rPr>
          <w:lang w:val="en-GB"/>
        </w:rPr>
        <w:t xml:space="preserve"> </w:t>
      </w:r>
    </w:p>
    <w:p w:rsidR="00C75A82" w:rsidRPr="006B4871" w:rsidRDefault="00C75A82" w:rsidP="00C75A82">
      <w:pPr>
        <w:tabs>
          <w:tab w:val="left" w:pos="360"/>
        </w:tabs>
        <w:ind w:left="360" w:hanging="360"/>
        <w:jc w:val="both"/>
        <w:rPr>
          <w:lang w:val="en-GB"/>
        </w:rPr>
      </w:pPr>
    </w:p>
    <w:p w:rsidR="00C75A82" w:rsidRPr="006B4871" w:rsidRDefault="00C75A82" w:rsidP="00B50188">
      <w:pPr>
        <w:numPr>
          <w:ilvl w:val="0"/>
          <w:numId w:val="2"/>
        </w:numPr>
        <w:jc w:val="both"/>
        <w:rPr>
          <w:lang w:val="en-GB"/>
        </w:rPr>
      </w:pPr>
      <w:bookmarkStart w:id="7" w:name="_Ref346123927"/>
      <w:r w:rsidRPr="006B4871">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6B4871" w:rsidRDefault="00C75A82" w:rsidP="00C75A82">
      <w:pPr>
        <w:pStyle w:val="ListParagraph"/>
        <w:tabs>
          <w:tab w:val="left" w:pos="360"/>
        </w:tabs>
        <w:ind w:left="360" w:hanging="360"/>
        <w:rPr>
          <w:lang w:val="en-GB"/>
        </w:rPr>
      </w:pPr>
    </w:p>
    <w:p w:rsidR="00680EF0" w:rsidRPr="006B4871" w:rsidRDefault="00C75A82" w:rsidP="00B50188">
      <w:pPr>
        <w:numPr>
          <w:ilvl w:val="0"/>
          <w:numId w:val="2"/>
        </w:numPr>
        <w:jc w:val="both"/>
        <w:rPr>
          <w:lang w:val="en-GB"/>
        </w:rPr>
      </w:pPr>
      <w:bookmarkStart w:id="8" w:name="_Ref346123928"/>
      <w:r w:rsidRPr="006B4871">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6B4871">
        <w:rPr>
          <w:lang w:val="en-GB"/>
        </w:rPr>
        <w:t xml:space="preserve">supposed to be </w:t>
      </w:r>
      <w:r w:rsidRPr="006B4871">
        <w:rPr>
          <w:lang w:val="en-GB"/>
        </w:rPr>
        <w:t>handed over to EULEX.</w:t>
      </w:r>
      <w:bookmarkEnd w:id="8"/>
    </w:p>
    <w:p w:rsidR="00242881" w:rsidRPr="006B4871" w:rsidRDefault="00242881" w:rsidP="00A73D67">
      <w:pPr>
        <w:ind w:left="360"/>
        <w:jc w:val="both"/>
        <w:rPr>
          <w:lang w:val="en-GB"/>
        </w:rPr>
      </w:pPr>
    </w:p>
    <w:p w:rsidR="00647FB1" w:rsidRPr="006B4871" w:rsidRDefault="00A73D67" w:rsidP="00C756BC">
      <w:pPr>
        <w:pStyle w:val="ListParagraph"/>
        <w:numPr>
          <w:ilvl w:val="0"/>
          <w:numId w:val="3"/>
        </w:numPr>
        <w:autoSpaceDE w:val="0"/>
        <w:jc w:val="both"/>
        <w:rPr>
          <w:lang w:val="en-GB"/>
        </w:rPr>
      </w:pPr>
      <w:r w:rsidRPr="006B4871">
        <w:rPr>
          <w:b/>
          <w:bCs/>
          <w:lang w:val="en-GB"/>
        </w:rPr>
        <w:t>Circumstances surrounding the</w:t>
      </w:r>
      <w:r w:rsidR="00622236" w:rsidRPr="006B4871">
        <w:rPr>
          <w:b/>
          <w:bCs/>
          <w:lang w:val="en-GB"/>
        </w:rPr>
        <w:t xml:space="preserve"> </w:t>
      </w:r>
      <w:r w:rsidR="00954A3E" w:rsidRPr="006B4871">
        <w:rPr>
          <w:b/>
          <w:bCs/>
          <w:lang w:val="en-GB"/>
        </w:rPr>
        <w:t>abduction</w:t>
      </w:r>
      <w:r w:rsidR="005C7EC0" w:rsidRPr="006B4871">
        <w:rPr>
          <w:b/>
          <w:bCs/>
          <w:lang w:val="en-GB"/>
        </w:rPr>
        <w:t xml:space="preserve"> and probable killing</w:t>
      </w:r>
      <w:r w:rsidR="00E77C72" w:rsidRPr="006B4871">
        <w:rPr>
          <w:b/>
          <w:bCs/>
          <w:lang w:val="en-GB"/>
        </w:rPr>
        <w:t xml:space="preserve"> </w:t>
      </w:r>
      <w:r w:rsidR="00CE1874" w:rsidRPr="006B4871">
        <w:rPr>
          <w:b/>
          <w:bCs/>
          <w:lang w:val="en-GB"/>
        </w:rPr>
        <w:t xml:space="preserve">of </w:t>
      </w:r>
      <w:r w:rsidR="00C756BC" w:rsidRPr="006B4871">
        <w:rPr>
          <w:b/>
          <w:bCs/>
          <w:lang w:val="en-GB"/>
        </w:rPr>
        <w:t>Mr Slobodan Vujačić, Mr Luka Petrušić and Mrs Radmila Petrušić</w:t>
      </w:r>
    </w:p>
    <w:p w:rsidR="002948A6" w:rsidRPr="006B4871" w:rsidRDefault="002948A6" w:rsidP="002948A6">
      <w:pPr>
        <w:pStyle w:val="ListParagraph"/>
        <w:autoSpaceDE w:val="0"/>
        <w:ind w:left="360"/>
        <w:jc w:val="both"/>
        <w:rPr>
          <w:lang w:val="en-GB"/>
        </w:rPr>
      </w:pPr>
    </w:p>
    <w:p w:rsidR="00E84691" w:rsidRPr="006B4871" w:rsidRDefault="00A62C6D" w:rsidP="00E84691">
      <w:pPr>
        <w:numPr>
          <w:ilvl w:val="0"/>
          <w:numId w:val="2"/>
        </w:numPr>
        <w:jc w:val="both"/>
        <w:rPr>
          <w:lang w:val="en-GB"/>
        </w:rPr>
      </w:pPr>
      <w:r w:rsidRPr="006B4871">
        <w:rPr>
          <w:lang w:val="en-GB"/>
        </w:rPr>
        <w:t>T</w:t>
      </w:r>
      <w:r w:rsidR="00CC7D20" w:rsidRPr="006B4871">
        <w:rPr>
          <w:lang w:val="en-GB"/>
        </w:rPr>
        <w:t>he complainant is</w:t>
      </w:r>
      <w:r w:rsidRPr="006B4871">
        <w:rPr>
          <w:lang w:val="en-GB"/>
        </w:rPr>
        <w:t xml:space="preserve"> </w:t>
      </w:r>
      <w:r w:rsidR="008E5D83" w:rsidRPr="006B4871">
        <w:t>the wife of Mr Slobodan Vujačić, the sister of Mr Luka Petrušić and the sister-in-law of Mrs Radmila Petrušić</w:t>
      </w:r>
      <w:r w:rsidR="00E84691" w:rsidRPr="006B4871">
        <w:rPr>
          <w:lang w:val="en-GB"/>
        </w:rPr>
        <w:t>.</w:t>
      </w:r>
    </w:p>
    <w:p w:rsidR="00E84691" w:rsidRPr="006B4871" w:rsidRDefault="00E84691" w:rsidP="00E84691">
      <w:pPr>
        <w:ind w:left="360"/>
        <w:jc w:val="both"/>
        <w:rPr>
          <w:lang w:val="en-GB"/>
        </w:rPr>
      </w:pPr>
    </w:p>
    <w:p w:rsidR="008E5D83" w:rsidRPr="006B4871" w:rsidRDefault="005C7EC0" w:rsidP="008E5D83">
      <w:pPr>
        <w:numPr>
          <w:ilvl w:val="0"/>
          <w:numId w:val="2"/>
        </w:numPr>
        <w:jc w:val="both"/>
      </w:pPr>
      <w:bookmarkStart w:id="9" w:name="_Ref389154703"/>
      <w:r w:rsidRPr="006B4871">
        <w:t xml:space="preserve">The complainant states that on 17 June 1999, after KFOR soldiers finished their patrol in Banja e Pejes/Pećka Banja village, Istog/Istok municipality, members of the KLA </w:t>
      </w:r>
      <w:r w:rsidRPr="006B4871">
        <w:rPr>
          <w:lang w:val="en-GB"/>
        </w:rPr>
        <w:t xml:space="preserve">entered the complainant’s family home and abducted </w:t>
      </w:r>
      <w:r w:rsidRPr="006B4871">
        <w:t xml:space="preserve">Mr Slobodan Vujačić, Mr Luka Petrušić and Mrs Radmila Petrušić. </w:t>
      </w:r>
      <w:r w:rsidR="008E5D83" w:rsidRPr="006B4871">
        <w:t>Since that time, the whereabouts of all three persons have remained unknown.</w:t>
      </w:r>
    </w:p>
    <w:p w:rsidR="008E5D83" w:rsidRPr="006B4871" w:rsidRDefault="008E5D83" w:rsidP="008E5D83">
      <w:pPr>
        <w:pStyle w:val="ListParagraph"/>
        <w:rPr>
          <w:lang w:val="en-GB"/>
        </w:rPr>
      </w:pPr>
    </w:p>
    <w:p w:rsidR="00A62C6D" w:rsidRPr="006B4871" w:rsidRDefault="008E5D83" w:rsidP="008E5D83">
      <w:pPr>
        <w:numPr>
          <w:ilvl w:val="0"/>
          <w:numId w:val="2"/>
        </w:numPr>
        <w:jc w:val="both"/>
      </w:pPr>
      <w:r w:rsidRPr="006B4871">
        <w:rPr>
          <w:lang w:val="en-GB"/>
        </w:rPr>
        <w:t>The complainant states that the abductions were reported to KFOR, the Montenegrin Red Cross, the ICRC and the Italian Embassy.</w:t>
      </w:r>
    </w:p>
    <w:p w:rsidR="008E5D83" w:rsidRPr="006B4871" w:rsidRDefault="008E5D83" w:rsidP="008E5D83">
      <w:pPr>
        <w:jc w:val="both"/>
      </w:pPr>
    </w:p>
    <w:p w:rsidR="00E35F59" w:rsidRPr="006B4871" w:rsidRDefault="005F689D" w:rsidP="00E35F59">
      <w:pPr>
        <w:numPr>
          <w:ilvl w:val="0"/>
          <w:numId w:val="2"/>
        </w:numPr>
        <w:jc w:val="both"/>
        <w:rPr>
          <w:bCs/>
          <w:lang w:val="en-GB"/>
        </w:rPr>
      </w:pPr>
      <w:r w:rsidRPr="006B4871">
        <w:rPr>
          <w:lang w:val="en-GB"/>
        </w:rPr>
        <w:t xml:space="preserve">On </w:t>
      </w:r>
      <w:r w:rsidR="00AE7814" w:rsidRPr="006B4871">
        <w:t>5</w:t>
      </w:r>
      <w:r w:rsidR="00A62C6D" w:rsidRPr="006B4871">
        <w:t xml:space="preserve"> </w:t>
      </w:r>
      <w:r w:rsidR="00AE7814" w:rsidRPr="006B4871">
        <w:t>September 2001</w:t>
      </w:r>
      <w:r w:rsidRPr="006B4871">
        <w:rPr>
          <w:lang w:val="en-GB"/>
        </w:rPr>
        <w:t xml:space="preserve">, the ICRC opened a tracing request for </w:t>
      </w:r>
      <w:r w:rsidR="00C756BC" w:rsidRPr="006B4871">
        <w:t>Mr Slobodan Vujačić</w:t>
      </w:r>
      <w:r w:rsidR="00AE7814" w:rsidRPr="006B4871">
        <w:t xml:space="preserve">, Mr Luka Petrušić and Mrs Radmila </w:t>
      </w:r>
      <w:r w:rsidR="005C7EC0" w:rsidRPr="006B4871">
        <w:t xml:space="preserve">Petrušić. </w:t>
      </w:r>
      <w:r w:rsidR="00A62C6D" w:rsidRPr="006B4871">
        <w:t>Likewise,</w:t>
      </w:r>
      <w:r w:rsidR="00A62C6D" w:rsidRPr="006B4871">
        <w:rPr>
          <w:bCs/>
          <w:lang w:val="en-GB"/>
        </w:rPr>
        <w:t xml:space="preserve"> </w:t>
      </w:r>
      <w:r w:rsidR="00AE7814" w:rsidRPr="006B4871">
        <w:rPr>
          <w:lang w:val="en-GB"/>
        </w:rPr>
        <w:t>t</w:t>
      </w:r>
      <w:r w:rsidR="002948A6" w:rsidRPr="006B4871">
        <w:rPr>
          <w:lang w:val="en-GB"/>
        </w:rPr>
        <w:t>he</w:t>
      </w:r>
      <w:r w:rsidR="00AE7814" w:rsidRPr="006B4871">
        <w:rPr>
          <w:lang w:val="en-GB"/>
        </w:rPr>
        <w:t>ir</w:t>
      </w:r>
      <w:r w:rsidR="002948A6" w:rsidRPr="006B4871">
        <w:rPr>
          <w:lang w:val="en-GB"/>
        </w:rPr>
        <w:t xml:space="preserve"> </w:t>
      </w:r>
      <w:r w:rsidR="00E35F59" w:rsidRPr="006B4871">
        <w:rPr>
          <w:lang w:val="en-GB"/>
        </w:rPr>
        <w:t>name</w:t>
      </w:r>
      <w:r w:rsidR="00AE7814" w:rsidRPr="006B4871">
        <w:rPr>
          <w:lang w:val="en-GB"/>
        </w:rPr>
        <w:t>s</w:t>
      </w:r>
      <w:r w:rsidR="002948A6" w:rsidRPr="006B4871">
        <w:rPr>
          <w:lang w:val="en-GB"/>
        </w:rPr>
        <w:t xml:space="preserve"> </w:t>
      </w:r>
      <w:r w:rsidR="00AE7814" w:rsidRPr="006B4871">
        <w:rPr>
          <w:lang w:val="en-GB"/>
        </w:rPr>
        <w:t>are</w:t>
      </w:r>
      <w:r w:rsidR="00E35F59" w:rsidRPr="006B4871">
        <w:rPr>
          <w:lang w:val="en-GB"/>
        </w:rPr>
        <w:t xml:space="preserve"> included in the database compiled by the UNMIK OMPF</w:t>
      </w:r>
      <w:r w:rsidR="00E35F59" w:rsidRPr="006B4871">
        <w:rPr>
          <w:rStyle w:val="FootnoteReference"/>
          <w:bCs/>
          <w:lang w:val="en-GB"/>
        </w:rPr>
        <w:footnoteReference w:id="3"/>
      </w:r>
      <w:r w:rsidR="005A204F" w:rsidRPr="006B4871">
        <w:rPr>
          <w:bCs/>
          <w:lang w:val="en-GB"/>
        </w:rPr>
        <w:t>. The entries</w:t>
      </w:r>
      <w:r w:rsidR="00E35F59" w:rsidRPr="006B4871">
        <w:rPr>
          <w:bCs/>
          <w:lang w:val="en-GB"/>
        </w:rPr>
        <w:t xml:space="preserve"> in relation to </w:t>
      </w:r>
      <w:r w:rsidR="00C756BC" w:rsidRPr="006B4871">
        <w:t>Mr Slobodan Vujačić</w:t>
      </w:r>
      <w:r w:rsidR="004F0458" w:rsidRPr="006B4871">
        <w:t>,</w:t>
      </w:r>
      <w:r w:rsidR="00C756BC" w:rsidRPr="006B4871">
        <w:t xml:space="preserve"> </w:t>
      </w:r>
      <w:r w:rsidR="005A204F" w:rsidRPr="006B4871">
        <w:t>Mr Luka Petrušić and Mrs Radmila Petrušić</w:t>
      </w:r>
      <w:r w:rsidR="00423598" w:rsidRPr="006B4871">
        <w:rPr>
          <w:lang w:val="en-GB"/>
        </w:rPr>
        <w:t xml:space="preserve"> </w:t>
      </w:r>
      <w:r w:rsidR="00E35F59" w:rsidRPr="006B4871">
        <w:rPr>
          <w:bCs/>
          <w:lang w:val="en-GB"/>
        </w:rPr>
        <w:t xml:space="preserve">in the </w:t>
      </w:r>
      <w:r w:rsidR="00E35F59" w:rsidRPr="006B4871">
        <w:rPr>
          <w:lang w:val="en-GB"/>
        </w:rPr>
        <w:t>online database maintained by the ICMP</w:t>
      </w:r>
      <w:r w:rsidR="00E35F59" w:rsidRPr="006B4871">
        <w:rPr>
          <w:vertAlign w:val="superscript"/>
          <w:lang w:val="en-GB"/>
        </w:rPr>
        <w:footnoteReference w:id="4"/>
      </w:r>
      <w:r w:rsidR="005A204F" w:rsidRPr="006B4871">
        <w:rPr>
          <w:lang w:val="en-GB"/>
        </w:rPr>
        <w:t xml:space="preserve"> give</w:t>
      </w:r>
      <w:r w:rsidR="00E35F59" w:rsidRPr="006B4871">
        <w:rPr>
          <w:lang w:val="en-GB"/>
        </w:rPr>
        <w:t xml:space="preserve"> </w:t>
      </w:r>
      <w:r w:rsidR="00AE7814" w:rsidRPr="006B4871">
        <w:rPr>
          <w:lang w:val="en-GB"/>
        </w:rPr>
        <w:t>17</w:t>
      </w:r>
      <w:r w:rsidR="002948A6" w:rsidRPr="006B4871">
        <w:rPr>
          <w:lang w:val="en-GB"/>
        </w:rPr>
        <w:t xml:space="preserve"> </w:t>
      </w:r>
      <w:r w:rsidR="00AE7814" w:rsidRPr="006B4871">
        <w:rPr>
          <w:lang w:val="en-GB"/>
        </w:rPr>
        <w:t>June</w:t>
      </w:r>
      <w:r w:rsidR="002948A6" w:rsidRPr="006B4871">
        <w:rPr>
          <w:lang w:val="en-GB"/>
        </w:rPr>
        <w:t xml:space="preserve"> </w:t>
      </w:r>
      <w:r w:rsidR="00E35F59" w:rsidRPr="006B4871">
        <w:rPr>
          <w:lang w:val="en-GB"/>
        </w:rPr>
        <w:t>1999 as the reported</w:t>
      </w:r>
      <w:r w:rsidR="005A204F" w:rsidRPr="006B4871">
        <w:rPr>
          <w:lang w:val="en-GB"/>
        </w:rPr>
        <w:t xml:space="preserve"> date of disappearance and read</w:t>
      </w:r>
      <w:r w:rsidR="00E35F59" w:rsidRPr="006B4871">
        <w:rPr>
          <w:lang w:val="en-GB"/>
        </w:rPr>
        <w:t xml:space="preserve"> in other relevant fields: “Sufficient Reference Samples Collected” and “</w:t>
      </w:r>
      <w:r w:rsidR="00AE7814" w:rsidRPr="006B4871">
        <w:rPr>
          <w:lang w:val="en-GB"/>
        </w:rPr>
        <w:t>DNA match not found</w:t>
      </w:r>
      <w:r w:rsidR="00E35F59" w:rsidRPr="006B4871">
        <w:rPr>
          <w:lang w:val="en-GB"/>
        </w:rPr>
        <w:t>.</w:t>
      </w:r>
      <w:bookmarkEnd w:id="9"/>
      <w:r w:rsidR="002E04D2" w:rsidRPr="006B4871">
        <w:rPr>
          <w:lang w:val="en-GB"/>
        </w:rPr>
        <w:t>”</w:t>
      </w:r>
      <w:r w:rsidR="00AE7814" w:rsidRPr="006B4871">
        <w:rPr>
          <w:lang w:val="en-GB"/>
        </w:rPr>
        <w:t xml:space="preserve"> </w:t>
      </w:r>
    </w:p>
    <w:p w:rsidR="00D64ACA" w:rsidRPr="006B4871" w:rsidRDefault="00D64ACA" w:rsidP="00D64ACA">
      <w:pPr>
        <w:jc w:val="both"/>
      </w:pPr>
    </w:p>
    <w:p w:rsidR="00D64ACA" w:rsidRPr="006B4871" w:rsidRDefault="00D64ACA" w:rsidP="00D64ACA">
      <w:pPr>
        <w:jc w:val="both"/>
        <w:rPr>
          <w:lang w:val="en-GB"/>
        </w:rPr>
      </w:pPr>
      <w:r w:rsidRPr="006B4871">
        <w:rPr>
          <w:b/>
          <w:lang w:val="en-GB"/>
        </w:rPr>
        <w:t>C. The investigation</w:t>
      </w:r>
    </w:p>
    <w:p w:rsidR="00D142E8" w:rsidRPr="006B4871" w:rsidRDefault="00D142E8" w:rsidP="00D142E8">
      <w:pPr>
        <w:jc w:val="both"/>
        <w:rPr>
          <w:i/>
          <w:lang w:val="en-GB"/>
        </w:rPr>
      </w:pPr>
    </w:p>
    <w:p w:rsidR="00D64ACA" w:rsidRPr="006B4871" w:rsidRDefault="00D64ACA" w:rsidP="000072A4">
      <w:pPr>
        <w:pStyle w:val="ListParagraph"/>
        <w:ind w:left="0"/>
        <w:jc w:val="both"/>
        <w:rPr>
          <w:i/>
          <w:lang w:val="en-GB"/>
        </w:rPr>
      </w:pPr>
      <w:bookmarkStart w:id="10" w:name="_Ref347322102"/>
      <w:r w:rsidRPr="006B4871">
        <w:rPr>
          <w:i/>
          <w:lang w:val="en-GB"/>
        </w:rPr>
        <w:t>Disclosure of relevant files</w:t>
      </w:r>
    </w:p>
    <w:p w:rsidR="00D64ACA" w:rsidRPr="006B4871" w:rsidRDefault="00D64ACA" w:rsidP="00D64ACA">
      <w:pPr>
        <w:pStyle w:val="Default"/>
        <w:suppressAutoHyphens/>
        <w:jc w:val="both"/>
        <w:rPr>
          <w:bCs/>
          <w:lang w:val="en-GB"/>
        </w:rPr>
      </w:pPr>
    </w:p>
    <w:p w:rsidR="00D64ACA" w:rsidRPr="006B4871" w:rsidRDefault="00D64ACA" w:rsidP="00D64ACA">
      <w:pPr>
        <w:pStyle w:val="Default"/>
        <w:numPr>
          <w:ilvl w:val="0"/>
          <w:numId w:val="2"/>
        </w:numPr>
        <w:tabs>
          <w:tab w:val="left" w:pos="360"/>
        </w:tabs>
        <w:suppressAutoHyphens/>
        <w:jc w:val="both"/>
        <w:rPr>
          <w:bCs/>
          <w:lang w:val="en-GB"/>
        </w:rPr>
      </w:pPr>
      <w:bookmarkStart w:id="11" w:name="_Ref365886120"/>
      <w:r w:rsidRPr="006B4871">
        <w:rPr>
          <w:lang w:val="en-GB"/>
        </w:rPr>
        <w:t>On</w:t>
      </w:r>
      <w:bookmarkStart w:id="12" w:name="_Ref348357381"/>
      <w:r w:rsidR="005A204F" w:rsidRPr="006B4871">
        <w:rPr>
          <w:lang w:val="en-GB"/>
        </w:rPr>
        <w:t xml:space="preserve"> 28 February 2013</w:t>
      </w:r>
      <w:r w:rsidRPr="006B4871">
        <w:rPr>
          <w:lang w:val="en-GB"/>
        </w:rPr>
        <w:t xml:space="preserve">, </w:t>
      </w:r>
      <w:r w:rsidR="00711C23" w:rsidRPr="006B4871">
        <w:rPr>
          <w:bCs/>
          <w:lang w:val="en-GB"/>
        </w:rPr>
        <w:t>UNMIK provided</w:t>
      </w:r>
      <w:r w:rsidR="0080361B" w:rsidRPr="006B4871">
        <w:rPr>
          <w:bCs/>
          <w:lang w:val="en-GB"/>
        </w:rPr>
        <w:t xml:space="preserve"> to the Panel</w:t>
      </w:r>
      <w:r w:rsidRPr="006B4871">
        <w:rPr>
          <w:bCs/>
          <w:lang w:val="en-GB"/>
        </w:rPr>
        <w:t xml:space="preserve"> documents </w:t>
      </w:r>
      <w:r w:rsidRPr="006B4871">
        <w:rPr>
          <w:lang w:val="en-GB"/>
        </w:rPr>
        <w:t>which were held previously by the</w:t>
      </w:r>
      <w:r w:rsidR="00423598" w:rsidRPr="006B4871">
        <w:rPr>
          <w:lang w:val="en-GB"/>
        </w:rPr>
        <w:t xml:space="preserve"> UNMIK</w:t>
      </w:r>
      <w:r w:rsidRPr="006B4871">
        <w:rPr>
          <w:lang w:val="en-GB"/>
        </w:rPr>
        <w:t xml:space="preserve"> OMPF, </w:t>
      </w:r>
      <w:r w:rsidR="009D27AD" w:rsidRPr="006B4871">
        <w:rPr>
          <w:lang w:val="en-GB"/>
        </w:rPr>
        <w:t>MPU</w:t>
      </w:r>
      <w:r w:rsidR="00622236" w:rsidRPr="006B4871">
        <w:rPr>
          <w:lang w:val="en-GB"/>
        </w:rPr>
        <w:t xml:space="preserve"> </w:t>
      </w:r>
      <w:r w:rsidRPr="006B4871">
        <w:rPr>
          <w:lang w:val="en-GB"/>
        </w:rPr>
        <w:t xml:space="preserve">and EULEX. On </w:t>
      </w:r>
      <w:r w:rsidR="00AF5687" w:rsidRPr="006B4871">
        <w:rPr>
          <w:lang w:val="en-GB"/>
        </w:rPr>
        <w:t>20 November</w:t>
      </w:r>
      <w:r w:rsidR="002948A6" w:rsidRPr="006B4871">
        <w:rPr>
          <w:lang w:val="en-GB"/>
        </w:rPr>
        <w:t xml:space="preserve"> 2014</w:t>
      </w:r>
      <w:r w:rsidR="00022E69" w:rsidRPr="006B4871">
        <w:rPr>
          <w:lang w:val="en-GB"/>
        </w:rPr>
        <w:t>,</w:t>
      </w:r>
      <w:r w:rsidRPr="006B4871">
        <w:rPr>
          <w:lang w:val="en-GB"/>
        </w:rPr>
        <w:t xml:space="preserve"> UNMIK confirmed to the Panel that all files in UNMIK’s possession have been disclosed.</w:t>
      </w:r>
      <w:bookmarkEnd w:id="11"/>
      <w:bookmarkEnd w:id="12"/>
    </w:p>
    <w:p w:rsidR="00D64ACA" w:rsidRPr="006B4871" w:rsidRDefault="00D64ACA" w:rsidP="00D64ACA">
      <w:pPr>
        <w:pStyle w:val="Default"/>
        <w:suppressAutoHyphens/>
        <w:ind w:left="360"/>
        <w:jc w:val="both"/>
        <w:rPr>
          <w:bCs/>
          <w:lang w:val="en-GB"/>
        </w:rPr>
      </w:pPr>
    </w:p>
    <w:p w:rsidR="00D64ACA" w:rsidRPr="006B4871" w:rsidRDefault="00D64ACA" w:rsidP="00D64ACA">
      <w:pPr>
        <w:widowControl w:val="0"/>
        <w:numPr>
          <w:ilvl w:val="0"/>
          <w:numId w:val="2"/>
        </w:numPr>
        <w:tabs>
          <w:tab w:val="left" w:pos="360"/>
          <w:tab w:val="num" w:pos="630"/>
          <w:tab w:val="left" w:pos="1080"/>
        </w:tabs>
        <w:suppressAutoHyphens/>
        <w:jc w:val="both"/>
        <w:rPr>
          <w:bCs/>
          <w:lang w:val="en-GB"/>
        </w:rPr>
      </w:pPr>
      <w:r w:rsidRPr="006B4871">
        <w:rPr>
          <w:lang w:val="en-GB"/>
        </w:rPr>
        <w:t xml:space="preserve">Concerning disclosure of information contained in the files, the Panel recalls that UNMIK has made available investigative files for the Panel’s review under a pledge of </w:t>
      </w:r>
      <w:r w:rsidRPr="006B4871">
        <w:rPr>
          <w:lang w:val="en-GB"/>
        </w:rPr>
        <w:lastRenderedPageBreak/>
        <w:t xml:space="preserve">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6B4871" w:rsidRDefault="00D64ACA" w:rsidP="00D64ACA">
      <w:pPr>
        <w:pStyle w:val="ListParagraph"/>
        <w:rPr>
          <w:bCs/>
          <w:lang w:val="en-GB"/>
        </w:rPr>
      </w:pPr>
    </w:p>
    <w:bookmarkEnd w:id="10"/>
    <w:p w:rsidR="005A204F" w:rsidRPr="006B4871" w:rsidRDefault="005A204F" w:rsidP="009D27AD">
      <w:pPr>
        <w:jc w:val="both"/>
        <w:rPr>
          <w:i/>
          <w:color w:val="000000" w:themeColor="text1"/>
          <w:lang w:val="en-GB"/>
        </w:rPr>
      </w:pPr>
      <w:r w:rsidRPr="006B4871">
        <w:rPr>
          <w:i/>
          <w:color w:val="000000" w:themeColor="text1"/>
          <w:lang w:val="en-GB"/>
        </w:rPr>
        <w:t xml:space="preserve">The </w:t>
      </w:r>
      <w:r w:rsidR="005C7EC0" w:rsidRPr="006B4871">
        <w:rPr>
          <w:i/>
          <w:color w:val="000000" w:themeColor="text1"/>
          <w:lang w:val="en-GB"/>
        </w:rPr>
        <w:t xml:space="preserve">OMPF/MPU </w:t>
      </w:r>
      <w:r w:rsidRPr="006B4871">
        <w:rPr>
          <w:i/>
          <w:color w:val="000000" w:themeColor="text1"/>
          <w:lang w:val="en-GB"/>
        </w:rPr>
        <w:t xml:space="preserve">files concerning </w:t>
      </w:r>
      <w:r w:rsidR="00C756BC" w:rsidRPr="006B4871">
        <w:rPr>
          <w:i/>
          <w:color w:val="000000" w:themeColor="text1"/>
          <w:lang w:val="en-GB"/>
        </w:rPr>
        <w:t>Mr Slobodan Vujačić</w:t>
      </w:r>
      <w:r w:rsidRPr="006B4871">
        <w:rPr>
          <w:i/>
          <w:color w:val="000000" w:themeColor="text1"/>
          <w:lang w:val="en-GB"/>
        </w:rPr>
        <w:t>, Mr Luka Petrušić and Mrs Radmila Petrušić</w:t>
      </w:r>
    </w:p>
    <w:p w:rsidR="005A204F" w:rsidRPr="006B4871" w:rsidRDefault="005A204F" w:rsidP="009D27AD">
      <w:pPr>
        <w:jc w:val="both"/>
        <w:rPr>
          <w:i/>
          <w:color w:val="000000" w:themeColor="text1"/>
          <w:lang w:val="en-GB"/>
        </w:rPr>
      </w:pPr>
    </w:p>
    <w:p w:rsidR="002E4E73" w:rsidRPr="006B4871" w:rsidRDefault="002E4E73" w:rsidP="00C756BC">
      <w:pPr>
        <w:pStyle w:val="ListParagraph"/>
        <w:widowControl w:val="0"/>
        <w:numPr>
          <w:ilvl w:val="0"/>
          <w:numId w:val="2"/>
        </w:numPr>
        <w:tabs>
          <w:tab w:val="left" w:pos="1080"/>
        </w:tabs>
        <w:jc w:val="both"/>
        <w:rPr>
          <w:bCs/>
          <w:lang w:val="en-GB"/>
        </w:rPr>
      </w:pPr>
      <w:bookmarkStart w:id="13" w:name="_Ref405279350"/>
      <w:bookmarkStart w:id="14" w:name="_Ref404680199"/>
      <w:bookmarkStart w:id="15" w:name="_Ref400968564"/>
      <w:bookmarkStart w:id="16" w:name="_Ref397946944"/>
      <w:bookmarkStart w:id="17" w:name="_Ref394589400"/>
      <w:bookmarkStart w:id="18" w:name="_Ref394489616"/>
      <w:bookmarkStart w:id="19" w:name="_Ref384389656"/>
      <w:bookmarkStart w:id="20" w:name="_Ref387228732"/>
      <w:bookmarkStart w:id="21" w:name="_Ref387918075"/>
      <w:r w:rsidRPr="006B4871">
        <w:rPr>
          <w:bCs/>
          <w:lang w:val="en-GB"/>
        </w:rPr>
        <w:t xml:space="preserve">The MPU file contains an internal memorandum dated 1 June 2000, from an </w:t>
      </w:r>
      <w:r w:rsidR="004F0458" w:rsidRPr="006B4871">
        <w:rPr>
          <w:bCs/>
          <w:lang w:val="en-GB"/>
        </w:rPr>
        <w:t xml:space="preserve">MPU </w:t>
      </w:r>
      <w:r w:rsidRPr="006B4871">
        <w:rPr>
          <w:bCs/>
          <w:lang w:val="en-GB"/>
        </w:rPr>
        <w:t xml:space="preserve">investigator to the Head of the MPU, concerning the case. The </w:t>
      </w:r>
      <w:r w:rsidR="004F0458" w:rsidRPr="006B4871">
        <w:rPr>
          <w:bCs/>
          <w:lang w:val="en-GB"/>
        </w:rPr>
        <w:t xml:space="preserve">MPU </w:t>
      </w:r>
      <w:r w:rsidR="00AF5687" w:rsidRPr="006B4871">
        <w:rPr>
          <w:bCs/>
          <w:lang w:val="en-GB"/>
        </w:rPr>
        <w:t>investigator provides information</w:t>
      </w:r>
      <w:r w:rsidRPr="006B4871">
        <w:rPr>
          <w:bCs/>
          <w:lang w:val="en-GB"/>
        </w:rPr>
        <w:t xml:space="preserve"> that he had been contacted by the complainant</w:t>
      </w:r>
      <w:r w:rsidR="00D036E4" w:rsidRPr="006B4871">
        <w:rPr>
          <w:bCs/>
          <w:lang w:val="en-GB"/>
        </w:rPr>
        <w:t xml:space="preserve"> and she had informed him about the abduction of </w:t>
      </w:r>
      <w:r w:rsidR="00D036E4" w:rsidRPr="006B4871">
        <w:t>Mr Slobodan Vujačić, Mr Luka Petrušić and Mrs Radmila Petrušić.</w:t>
      </w:r>
      <w:r w:rsidR="00D036E4" w:rsidRPr="006B4871">
        <w:rPr>
          <w:bCs/>
          <w:lang w:val="en-GB"/>
        </w:rPr>
        <w:t xml:space="preserve"> </w:t>
      </w:r>
      <w:r w:rsidRPr="006B4871">
        <w:rPr>
          <w:bCs/>
          <w:lang w:val="en-GB"/>
        </w:rPr>
        <w:t>Besides providing a detailed account of the abduction</w:t>
      </w:r>
      <w:r w:rsidR="00D036E4" w:rsidRPr="006B4871">
        <w:rPr>
          <w:bCs/>
          <w:lang w:val="en-GB"/>
        </w:rPr>
        <w:t>, the memorandum also states that the compl</w:t>
      </w:r>
      <w:r w:rsidR="00716AC5" w:rsidRPr="006B4871">
        <w:rPr>
          <w:bCs/>
          <w:lang w:val="en-GB"/>
        </w:rPr>
        <w:t>ainant informed the investigator that her Albanian neighbour</w:t>
      </w:r>
      <w:r w:rsidR="00AF5687" w:rsidRPr="006B4871">
        <w:rPr>
          <w:bCs/>
          <w:lang w:val="en-GB"/>
        </w:rPr>
        <w:t>,</w:t>
      </w:r>
      <w:r w:rsidR="00716AC5" w:rsidRPr="006B4871">
        <w:rPr>
          <w:bCs/>
          <w:lang w:val="en-GB"/>
        </w:rPr>
        <w:t xml:space="preserve"> N.F.</w:t>
      </w:r>
      <w:r w:rsidR="00AF5687" w:rsidRPr="006B4871">
        <w:rPr>
          <w:bCs/>
          <w:lang w:val="en-GB"/>
        </w:rPr>
        <w:t>,</w:t>
      </w:r>
      <w:r w:rsidR="00716AC5" w:rsidRPr="006B4871">
        <w:rPr>
          <w:bCs/>
          <w:lang w:val="en-GB"/>
        </w:rPr>
        <w:t xml:space="preserve"> had stopped by the family house right before the abduction and asked</w:t>
      </w:r>
      <w:r w:rsidR="00AF5687" w:rsidRPr="006B4871">
        <w:rPr>
          <w:bCs/>
          <w:lang w:val="en-GB"/>
        </w:rPr>
        <w:t xml:space="preserve"> her</w:t>
      </w:r>
      <w:r w:rsidR="00716AC5" w:rsidRPr="006B4871">
        <w:rPr>
          <w:bCs/>
          <w:lang w:val="en-GB"/>
        </w:rPr>
        <w:t xml:space="preserve"> when the family was intending to leave. The complainant stated that N.F. had reason to be angry with her husband </w:t>
      </w:r>
      <w:r w:rsidR="00716AC5" w:rsidRPr="006B4871">
        <w:t xml:space="preserve">Mr Slobodan Vujačić. The complainant also stated that another Albanian </w:t>
      </w:r>
      <w:proofErr w:type="spellStart"/>
      <w:r w:rsidR="00716AC5" w:rsidRPr="006B4871">
        <w:t>neighbo</w:t>
      </w:r>
      <w:r w:rsidR="00AF5687" w:rsidRPr="006B4871">
        <w:t>u</w:t>
      </w:r>
      <w:r w:rsidR="00716AC5" w:rsidRPr="006B4871">
        <w:t>r</w:t>
      </w:r>
      <w:proofErr w:type="spellEnd"/>
      <w:r w:rsidR="00716AC5" w:rsidRPr="006B4871">
        <w:t>, H.A.</w:t>
      </w:r>
      <w:r w:rsidR="00AF5687" w:rsidRPr="006B4871">
        <w:t>,</w:t>
      </w:r>
      <w:r w:rsidR="00716AC5" w:rsidRPr="006B4871">
        <w:rPr>
          <w:bCs/>
          <w:lang w:val="en-GB"/>
        </w:rPr>
        <w:t xml:space="preserve"> had told her on 27 June 1999 that she had seen that </w:t>
      </w:r>
      <w:r w:rsidR="00716AC5" w:rsidRPr="006B4871">
        <w:t>Mrs Radmila Petrušić had been ki</w:t>
      </w:r>
      <w:r w:rsidR="005C7EC0" w:rsidRPr="006B4871">
        <w:t>lled around the village of Vrellë/Vrelo</w:t>
      </w:r>
      <w:r w:rsidR="00716AC5" w:rsidRPr="006B4871">
        <w:t>.</w:t>
      </w:r>
      <w:bookmarkEnd w:id="13"/>
    </w:p>
    <w:p w:rsidR="00716AC5" w:rsidRPr="006B4871" w:rsidRDefault="00716AC5" w:rsidP="00716AC5">
      <w:pPr>
        <w:pStyle w:val="ListParagraph"/>
        <w:widowControl w:val="0"/>
        <w:tabs>
          <w:tab w:val="left" w:pos="1080"/>
        </w:tabs>
        <w:ind w:left="360"/>
        <w:jc w:val="both"/>
        <w:rPr>
          <w:bCs/>
          <w:lang w:val="en-GB"/>
        </w:rPr>
      </w:pPr>
    </w:p>
    <w:p w:rsidR="00A62C6D" w:rsidRPr="006B4871" w:rsidRDefault="00C756BC" w:rsidP="00C756BC">
      <w:pPr>
        <w:pStyle w:val="ListParagraph"/>
        <w:widowControl w:val="0"/>
        <w:numPr>
          <w:ilvl w:val="0"/>
          <w:numId w:val="2"/>
        </w:numPr>
        <w:tabs>
          <w:tab w:val="left" w:pos="1080"/>
        </w:tabs>
        <w:jc w:val="both"/>
        <w:rPr>
          <w:bCs/>
          <w:lang w:val="en-GB"/>
        </w:rPr>
      </w:pPr>
      <w:r w:rsidRPr="006B4871">
        <w:rPr>
          <w:lang w:val="en-GB"/>
        </w:rPr>
        <w:t>The MPU file contains</w:t>
      </w:r>
      <w:r w:rsidR="00A62C6D" w:rsidRPr="006B4871">
        <w:rPr>
          <w:lang w:val="en-GB"/>
        </w:rPr>
        <w:t xml:space="preserve"> </w:t>
      </w:r>
      <w:r w:rsidRPr="006B4871">
        <w:rPr>
          <w:lang w:val="en-GB"/>
        </w:rPr>
        <w:t xml:space="preserve">incomplete copies of three </w:t>
      </w:r>
      <w:r w:rsidR="00A62C6D" w:rsidRPr="006B4871">
        <w:rPr>
          <w:lang w:val="en-GB"/>
        </w:rPr>
        <w:t>undated Ante-Mortem Victim Identification Form</w:t>
      </w:r>
      <w:r w:rsidRPr="006B4871">
        <w:rPr>
          <w:lang w:val="en-GB"/>
        </w:rPr>
        <w:t>s</w:t>
      </w:r>
      <w:r w:rsidR="00A62C6D" w:rsidRPr="006B4871">
        <w:rPr>
          <w:lang w:val="en-GB"/>
        </w:rPr>
        <w:t xml:space="preserve">, </w:t>
      </w:r>
      <w:r w:rsidRPr="006B4871">
        <w:rPr>
          <w:lang w:val="en-GB"/>
        </w:rPr>
        <w:t xml:space="preserve">all </w:t>
      </w:r>
      <w:r w:rsidR="00A62C6D" w:rsidRPr="006B4871">
        <w:rPr>
          <w:lang w:val="en-GB"/>
        </w:rPr>
        <w:t xml:space="preserve">affixed </w:t>
      </w:r>
      <w:r w:rsidR="00A24710">
        <w:rPr>
          <w:lang w:val="en-GB"/>
        </w:rPr>
        <w:t>with the file no.</w:t>
      </w:r>
      <w:r w:rsidRPr="006B4871">
        <w:rPr>
          <w:lang w:val="en-GB"/>
        </w:rPr>
        <w:t xml:space="preserve"> 2000-000458</w:t>
      </w:r>
      <w:r w:rsidR="00A62C6D" w:rsidRPr="006B4871">
        <w:rPr>
          <w:lang w:val="en-GB"/>
        </w:rPr>
        <w:t xml:space="preserve">. Besides containing </w:t>
      </w:r>
      <w:r w:rsidRPr="006B4871">
        <w:t xml:space="preserve">the </w:t>
      </w:r>
      <w:r w:rsidR="00A62C6D" w:rsidRPr="006B4871">
        <w:rPr>
          <w:lang w:val="en-GB"/>
        </w:rPr>
        <w:t>personal details and ante-mortem description</w:t>
      </w:r>
      <w:r w:rsidRPr="006B4871">
        <w:rPr>
          <w:lang w:val="en-GB"/>
        </w:rPr>
        <w:t xml:space="preserve"> of Mr Slobodan Vujačić, Mr Luka Petrušić and Mrs Radmila Petrušić, they</w:t>
      </w:r>
      <w:r w:rsidR="004F0458" w:rsidRPr="006B4871">
        <w:rPr>
          <w:lang w:val="en-GB"/>
        </w:rPr>
        <w:t xml:space="preserve"> provide</w:t>
      </w:r>
      <w:r w:rsidR="00A62C6D" w:rsidRPr="006B4871">
        <w:rPr>
          <w:lang w:val="en-GB"/>
        </w:rPr>
        <w:t xml:space="preserve"> the name, address and telephone number</w:t>
      </w:r>
      <w:r w:rsidR="00AF5687" w:rsidRPr="006B4871">
        <w:rPr>
          <w:lang w:val="en-GB"/>
        </w:rPr>
        <w:t>s</w:t>
      </w:r>
      <w:r w:rsidR="00A62C6D" w:rsidRPr="006B4871">
        <w:rPr>
          <w:lang w:val="en-GB"/>
        </w:rPr>
        <w:t xml:space="preserve"> of</w:t>
      </w:r>
      <w:r w:rsidR="009F7E59" w:rsidRPr="006B4871">
        <w:rPr>
          <w:lang w:val="en-GB"/>
        </w:rPr>
        <w:t xml:space="preserve"> both</w:t>
      </w:r>
      <w:r w:rsidR="00A62C6D" w:rsidRPr="006B4871">
        <w:rPr>
          <w:lang w:val="en-GB"/>
        </w:rPr>
        <w:t xml:space="preserve"> the comp</w:t>
      </w:r>
      <w:r w:rsidRPr="006B4871">
        <w:rPr>
          <w:lang w:val="en-GB"/>
        </w:rPr>
        <w:t xml:space="preserve">lainant </w:t>
      </w:r>
      <w:r w:rsidR="009F7E59" w:rsidRPr="006B4871">
        <w:rPr>
          <w:lang w:val="en-GB"/>
        </w:rPr>
        <w:t xml:space="preserve">and </w:t>
      </w:r>
      <w:r w:rsidRPr="006B4871">
        <w:rPr>
          <w:lang w:val="en-GB"/>
        </w:rPr>
        <w:t>her brother Mr M.P</w:t>
      </w:r>
      <w:r w:rsidR="009F7E59" w:rsidRPr="006B4871">
        <w:rPr>
          <w:lang w:val="en-GB"/>
        </w:rPr>
        <w:t>.</w:t>
      </w:r>
      <w:bookmarkEnd w:id="14"/>
    </w:p>
    <w:p w:rsidR="00C756F2" w:rsidRPr="006B4871" w:rsidRDefault="00C756F2" w:rsidP="00C756F2">
      <w:pPr>
        <w:pStyle w:val="ListParagraph"/>
        <w:rPr>
          <w:bCs/>
          <w:lang w:val="en-GB"/>
        </w:rPr>
      </w:pPr>
    </w:p>
    <w:p w:rsidR="00C756F2" w:rsidRPr="006B4871" w:rsidRDefault="00C756F2" w:rsidP="00C756BC">
      <w:pPr>
        <w:pStyle w:val="ListParagraph"/>
        <w:widowControl w:val="0"/>
        <w:numPr>
          <w:ilvl w:val="0"/>
          <w:numId w:val="2"/>
        </w:numPr>
        <w:tabs>
          <w:tab w:val="left" w:pos="1080"/>
        </w:tabs>
        <w:jc w:val="both"/>
        <w:rPr>
          <w:bCs/>
          <w:lang w:val="en-GB"/>
        </w:rPr>
      </w:pPr>
      <w:r w:rsidRPr="006B4871">
        <w:rPr>
          <w:bCs/>
          <w:lang w:val="en-GB"/>
        </w:rPr>
        <w:t xml:space="preserve">The MPU file contains an undated copy of a letter from the complainant to the Chief of UNMIK Police. In the letter, the complainant states the details of the abductions of </w:t>
      </w:r>
      <w:r w:rsidRPr="006B4871">
        <w:t>Mr Slobodan Vujačić, Mr Luka Petrušić and Mrs Radmila Petrušić, as well as providing the name of a potential witness,</w:t>
      </w:r>
      <w:r w:rsidR="004F0458" w:rsidRPr="006B4871">
        <w:t xml:space="preserve"> N.F., who still lives in Banja e Pejes/Pećka Banja village</w:t>
      </w:r>
      <w:r w:rsidRPr="006B4871">
        <w:t xml:space="preserve"> and might be able to provide further information. </w:t>
      </w:r>
    </w:p>
    <w:p w:rsidR="002948A6" w:rsidRPr="006B4871" w:rsidRDefault="002948A6" w:rsidP="00622236">
      <w:pPr>
        <w:rPr>
          <w:bCs/>
          <w:lang w:val="en-GB"/>
        </w:rPr>
      </w:pPr>
      <w:bookmarkStart w:id="22" w:name="_Ref395005257"/>
      <w:bookmarkEnd w:id="15"/>
      <w:bookmarkEnd w:id="16"/>
      <w:bookmarkEnd w:id="17"/>
      <w:bookmarkEnd w:id="18"/>
      <w:bookmarkEnd w:id="19"/>
      <w:bookmarkEnd w:id="20"/>
      <w:bookmarkEnd w:id="21"/>
    </w:p>
    <w:p w:rsidR="003E407F" w:rsidRPr="006B4871" w:rsidRDefault="00A62C6D" w:rsidP="00310CFD">
      <w:pPr>
        <w:widowControl w:val="0"/>
        <w:numPr>
          <w:ilvl w:val="0"/>
          <w:numId w:val="2"/>
        </w:numPr>
        <w:tabs>
          <w:tab w:val="left" w:pos="360"/>
          <w:tab w:val="num" w:pos="630"/>
          <w:tab w:val="left" w:pos="1080"/>
        </w:tabs>
        <w:suppressAutoHyphens/>
        <w:jc w:val="both"/>
        <w:rPr>
          <w:lang w:val="en-GB"/>
        </w:rPr>
      </w:pPr>
      <w:bookmarkStart w:id="23" w:name="_Ref404868152"/>
      <w:bookmarkStart w:id="24" w:name="_Ref404677730"/>
      <w:r w:rsidRPr="006B4871">
        <w:rPr>
          <w:lang w:val="en-GB"/>
        </w:rPr>
        <w:t>The MPU file contains an</w:t>
      </w:r>
      <w:r w:rsidR="00622236" w:rsidRPr="006B4871">
        <w:rPr>
          <w:lang w:val="en-GB"/>
        </w:rPr>
        <w:t xml:space="preserve"> undated Case Conti</w:t>
      </w:r>
      <w:r w:rsidRPr="006B4871">
        <w:rPr>
          <w:lang w:val="en-GB"/>
        </w:rPr>
        <w:t>nuation Report</w:t>
      </w:r>
      <w:r w:rsidR="002948A6" w:rsidRPr="006B4871">
        <w:rPr>
          <w:lang w:val="en-GB"/>
        </w:rPr>
        <w:t xml:space="preserve"> for </w:t>
      </w:r>
      <w:r w:rsidR="00D806EA" w:rsidRPr="006B4871">
        <w:rPr>
          <w:lang w:val="en-GB"/>
        </w:rPr>
        <w:t>Mr Luka Petrušić</w:t>
      </w:r>
      <w:r w:rsidR="00A24710">
        <w:rPr>
          <w:lang w:val="en-GB"/>
        </w:rPr>
        <w:t>, affixed with the file no.</w:t>
      </w:r>
      <w:r w:rsidR="002948A6" w:rsidRPr="006B4871">
        <w:rPr>
          <w:lang w:val="en-GB"/>
        </w:rPr>
        <w:t xml:space="preserve"> </w:t>
      </w:r>
      <w:r w:rsidR="00A77D76" w:rsidRPr="006B4871">
        <w:rPr>
          <w:lang w:val="en-GB"/>
        </w:rPr>
        <w:t>2000-000458</w:t>
      </w:r>
      <w:r w:rsidR="002948A6" w:rsidRPr="006B4871">
        <w:rPr>
          <w:lang w:val="en-GB"/>
        </w:rPr>
        <w:t>. The</w:t>
      </w:r>
      <w:r w:rsidR="000E7030" w:rsidRPr="006B4871">
        <w:rPr>
          <w:lang w:val="en-GB"/>
        </w:rPr>
        <w:t xml:space="preserve"> </w:t>
      </w:r>
      <w:r w:rsidR="00D806EA" w:rsidRPr="006B4871">
        <w:rPr>
          <w:lang w:val="en-GB"/>
        </w:rPr>
        <w:t>Report contains seven</w:t>
      </w:r>
      <w:r w:rsidR="000E7030" w:rsidRPr="006B4871">
        <w:rPr>
          <w:lang w:val="en-GB"/>
        </w:rPr>
        <w:t xml:space="preserve"> inputs, </w:t>
      </w:r>
      <w:r w:rsidR="00D806EA" w:rsidRPr="006B4871">
        <w:rPr>
          <w:lang w:val="en-GB"/>
        </w:rPr>
        <w:t>with dates ranging from 5</w:t>
      </w:r>
      <w:r w:rsidRPr="006B4871">
        <w:rPr>
          <w:lang w:val="en-GB"/>
        </w:rPr>
        <w:t xml:space="preserve"> </w:t>
      </w:r>
      <w:r w:rsidR="00D806EA" w:rsidRPr="006B4871">
        <w:rPr>
          <w:lang w:val="en-GB"/>
        </w:rPr>
        <w:t>June 2000 to 5 March 2003</w:t>
      </w:r>
      <w:r w:rsidRPr="006B4871">
        <w:rPr>
          <w:lang w:val="en-GB"/>
        </w:rPr>
        <w:t xml:space="preserve">. </w:t>
      </w:r>
      <w:r w:rsidR="00D806EA" w:rsidRPr="006B4871">
        <w:rPr>
          <w:lang w:val="en-GB"/>
        </w:rPr>
        <w:t xml:space="preserve">The input for 3 January 2001 states “We got </w:t>
      </w:r>
      <w:proofErr w:type="gramStart"/>
      <w:r w:rsidR="00D806EA" w:rsidRPr="006B4871">
        <w:rPr>
          <w:lang w:val="en-GB"/>
        </w:rPr>
        <w:t>an information</w:t>
      </w:r>
      <w:proofErr w:type="gramEnd"/>
      <w:r w:rsidR="00D806EA" w:rsidRPr="006B4871">
        <w:rPr>
          <w:lang w:val="en-GB"/>
        </w:rPr>
        <w:t xml:space="preserve"> from the internet from Serbia that their bodies were found in Banya, Istok”.</w:t>
      </w:r>
      <w:r w:rsidR="00BB323D" w:rsidRPr="006B4871">
        <w:rPr>
          <w:lang w:val="en-GB"/>
        </w:rPr>
        <w:t xml:space="preserve"> </w:t>
      </w:r>
      <w:r w:rsidR="00D806EA" w:rsidRPr="006B4871">
        <w:rPr>
          <w:lang w:val="en-GB"/>
        </w:rPr>
        <w:t>The input for 21 May 2002 includes “DVI form (AM Data) obtained from BLG. Office as well as the MP’s brother’s statement…”</w:t>
      </w:r>
      <w:r w:rsidR="00AF5687" w:rsidRPr="006B4871">
        <w:rPr>
          <w:lang w:val="en-GB"/>
        </w:rPr>
        <w:t xml:space="preserve"> </w:t>
      </w:r>
      <w:r w:rsidR="00D806EA" w:rsidRPr="006B4871">
        <w:rPr>
          <w:lang w:val="en-GB"/>
        </w:rPr>
        <w:t>An English translation of the witness statement of Mr Luka Petrušić’s brother Mr S.P. is also attached</w:t>
      </w:r>
      <w:r w:rsidR="008B0F39" w:rsidRPr="006B4871">
        <w:rPr>
          <w:lang w:val="en-GB"/>
        </w:rPr>
        <w:t xml:space="preserve"> along with a map</w:t>
      </w:r>
      <w:r w:rsidR="005C7EC0" w:rsidRPr="006B4871">
        <w:rPr>
          <w:lang w:val="en-GB"/>
        </w:rPr>
        <w:t xml:space="preserve"> of</w:t>
      </w:r>
      <w:r w:rsidR="00AF5687" w:rsidRPr="006B4871">
        <w:rPr>
          <w:lang w:val="en-GB"/>
        </w:rPr>
        <w:t xml:space="preserve"> the area</w:t>
      </w:r>
      <w:r w:rsidR="00D806EA" w:rsidRPr="006B4871">
        <w:rPr>
          <w:lang w:val="en-GB"/>
        </w:rPr>
        <w:t>,</w:t>
      </w:r>
      <w:r w:rsidR="008B0F39" w:rsidRPr="006B4871">
        <w:rPr>
          <w:lang w:val="en-GB"/>
        </w:rPr>
        <w:t xml:space="preserve"> </w:t>
      </w:r>
      <w:r w:rsidR="00D806EA" w:rsidRPr="006B4871">
        <w:rPr>
          <w:lang w:val="en-GB"/>
        </w:rPr>
        <w:t xml:space="preserve">dated 16 May 2002 </w:t>
      </w:r>
      <w:r w:rsidR="00A24710">
        <w:rPr>
          <w:lang w:val="en-GB"/>
        </w:rPr>
        <w:t>and affixed with the file no.</w:t>
      </w:r>
      <w:r w:rsidR="00D806EA" w:rsidRPr="006B4871">
        <w:rPr>
          <w:lang w:val="en-GB"/>
        </w:rPr>
        <w:t xml:space="preserve"> 2000-000458</w:t>
      </w:r>
      <w:r w:rsidR="008B0F39" w:rsidRPr="006B4871">
        <w:rPr>
          <w:lang w:val="en-GB"/>
        </w:rPr>
        <w:t>. Besides the information already provided by the complainant about the abduction,</w:t>
      </w:r>
      <w:r w:rsidR="00D806EA" w:rsidRPr="006B4871">
        <w:rPr>
          <w:lang w:val="en-GB"/>
        </w:rPr>
        <w:t xml:space="preserve"> </w:t>
      </w:r>
      <w:r w:rsidR="008B0F39" w:rsidRPr="006B4871">
        <w:rPr>
          <w:lang w:val="en-GB"/>
        </w:rPr>
        <w:t>the witness statement also states</w:t>
      </w:r>
      <w:bookmarkEnd w:id="23"/>
      <w:r w:rsidR="00AF5687" w:rsidRPr="006B4871">
        <w:rPr>
          <w:lang w:val="en-GB"/>
        </w:rPr>
        <w:t>:</w:t>
      </w:r>
      <w:r w:rsidR="008B0F39" w:rsidRPr="006B4871">
        <w:rPr>
          <w:lang w:val="en-GB"/>
        </w:rPr>
        <w:t xml:space="preserve"> </w:t>
      </w:r>
    </w:p>
    <w:p w:rsidR="003E407F" w:rsidRPr="006B4871" w:rsidRDefault="003E407F" w:rsidP="003E407F">
      <w:pPr>
        <w:pStyle w:val="ListParagraph"/>
        <w:rPr>
          <w:lang w:val="en-GB"/>
        </w:rPr>
      </w:pPr>
    </w:p>
    <w:p w:rsidR="00310CFD" w:rsidRPr="006B4871" w:rsidRDefault="003E407F" w:rsidP="003E407F">
      <w:pPr>
        <w:widowControl w:val="0"/>
        <w:tabs>
          <w:tab w:val="left" w:pos="1080"/>
        </w:tabs>
        <w:suppressAutoHyphens/>
        <w:ind w:left="720"/>
        <w:jc w:val="both"/>
        <w:rPr>
          <w:lang w:val="en-GB"/>
        </w:rPr>
      </w:pPr>
      <w:r w:rsidRPr="006B4871">
        <w:rPr>
          <w:lang w:val="en-GB"/>
        </w:rPr>
        <w:tab/>
      </w:r>
      <w:r w:rsidR="008B0F39" w:rsidRPr="006B4871">
        <w:rPr>
          <w:lang w:val="en-GB"/>
        </w:rPr>
        <w:t>“[t]here is suspicion that the same night they were killed in the village Kamenica. Then their corpses were driven in the cars to the road Vrelo-Kalicane to the place Gubavica, at the spot where a small creek cuts the road (map sketch-on scene under 2.3).</w:t>
      </w:r>
      <w:r w:rsidR="00E24650" w:rsidRPr="006B4871">
        <w:rPr>
          <w:lang w:val="en-GB"/>
        </w:rPr>
        <w:t xml:space="preserve"> </w:t>
      </w:r>
      <w:r w:rsidR="008B0F39" w:rsidRPr="006B4871">
        <w:rPr>
          <w:lang w:val="en-GB"/>
        </w:rPr>
        <w:t>This modus operandi was given to the family by local Albanians</w:t>
      </w:r>
      <w:r w:rsidR="00685ADB" w:rsidRPr="006B4871">
        <w:rPr>
          <w:lang w:val="en-GB"/>
        </w:rPr>
        <w:t xml:space="preserve"> and by sister who </w:t>
      </w:r>
      <w:r w:rsidR="00685ADB" w:rsidRPr="006B4871">
        <w:rPr>
          <w:lang w:val="en-GB"/>
        </w:rPr>
        <w:lastRenderedPageBreak/>
        <w:t>remained in the house of Slobodan Vujacic 14 days after the kidnapping; her name is [the complainant]</w:t>
      </w:r>
      <w:r w:rsidR="00310CFD" w:rsidRPr="006B4871">
        <w:rPr>
          <w:lang w:val="en-GB"/>
        </w:rPr>
        <w:t>.</w:t>
      </w:r>
      <w:bookmarkEnd w:id="24"/>
      <w:r w:rsidR="00685ADB" w:rsidRPr="006B4871">
        <w:rPr>
          <w:lang w:val="en-GB"/>
        </w:rPr>
        <w:t xml:space="preserve">  Within the month after the kidnapping Albanian Q.L. an economist from the place Banja…was passing by and searching after his missing father he found and identified</w:t>
      </w:r>
      <w:r w:rsidRPr="006B4871">
        <w:rPr>
          <w:lang w:val="en-GB"/>
        </w:rPr>
        <w:t xml:space="preserve"> killed Radmila Petrusic and not so far from her he found his father…He left her in the same condition as she was found, and according to other unofficial source local villagers in the same place or in the immediate vicinity buried her. The brother and son-in-law: Petrusic Luka and Slobodan Vujacic were thrown dead in the same spot and probably buried on the upper side of the road not far from the road in the huge deep forest. For these two men it is presumed that the perpetrators who killed them also have buried them.”</w:t>
      </w:r>
    </w:p>
    <w:p w:rsidR="00A62C6D" w:rsidRPr="006B4871" w:rsidRDefault="00A62C6D" w:rsidP="00A62C6D">
      <w:pPr>
        <w:pStyle w:val="ListParagraph"/>
        <w:rPr>
          <w:lang w:val="en-GB"/>
        </w:rPr>
      </w:pPr>
    </w:p>
    <w:p w:rsidR="005C7EC0" w:rsidRPr="006B4871" w:rsidRDefault="002D29CD" w:rsidP="00A62C6D">
      <w:pPr>
        <w:widowControl w:val="0"/>
        <w:numPr>
          <w:ilvl w:val="0"/>
          <w:numId w:val="2"/>
        </w:numPr>
        <w:tabs>
          <w:tab w:val="left" w:pos="360"/>
          <w:tab w:val="num" w:pos="630"/>
          <w:tab w:val="left" w:pos="1080"/>
        </w:tabs>
        <w:suppressAutoHyphens/>
        <w:jc w:val="both"/>
        <w:rPr>
          <w:lang w:val="en-GB"/>
        </w:rPr>
      </w:pPr>
      <w:bookmarkStart w:id="25" w:name="_Ref405284197"/>
      <w:bookmarkStart w:id="26" w:name="_Ref398126195"/>
      <w:bookmarkStart w:id="27" w:name="_Ref404681169"/>
      <w:r w:rsidRPr="006B4871">
        <w:rPr>
          <w:lang w:val="en-GB"/>
        </w:rPr>
        <w:t>The MPU file contains an undated internal memorandum from the MPU investigator to the Chief of the MPU, affixed with the</w:t>
      </w:r>
      <w:r w:rsidR="00A24710">
        <w:rPr>
          <w:lang w:val="en-GB"/>
        </w:rPr>
        <w:t xml:space="preserve"> file</w:t>
      </w:r>
      <w:r w:rsidRPr="006B4871">
        <w:rPr>
          <w:lang w:val="en-GB"/>
        </w:rPr>
        <w:t xml:space="preserve"> n</w:t>
      </w:r>
      <w:r w:rsidR="00E24650" w:rsidRPr="006B4871">
        <w:rPr>
          <w:lang w:val="en-GB"/>
        </w:rPr>
        <w:t>o.</w:t>
      </w:r>
      <w:r w:rsidRPr="006B4871">
        <w:rPr>
          <w:lang w:val="en-GB"/>
        </w:rPr>
        <w:t xml:space="preserve"> 2002-087, which provides an update on the investigation. The memorandum states</w:t>
      </w:r>
      <w:r w:rsidR="00AF5687" w:rsidRPr="006B4871">
        <w:rPr>
          <w:lang w:val="en-GB"/>
        </w:rPr>
        <w:t>:</w:t>
      </w:r>
      <w:r w:rsidRPr="006B4871">
        <w:rPr>
          <w:lang w:val="en-GB"/>
        </w:rPr>
        <w:t xml:space="preserve"> </w:t>
      </w:r>
    </w:p>
    <w:p w:rsidR="005C7EC0" w:rsidRPr="006B4871" w:rsidRDefault="005C7EC0" w:rsidP="005C7EC0">
      <w:pPr>
        <w:widowControl w:val="0"/>
        <w:tabs>
          <w:tab w:val="left" w:pos="1080"/>
        </w:tabs>
        <w:suppressAutoHyphens/>
        <w:ind w:left="360"/>
        <w:jc w:val="both"/>
        <w:rPr>
          <w:lang w:val="en-GB"/>
        </w:rPr>
      </w:pPr>
    </w:p>
    <w:p w:rsidR="002E4E73" w:rsidRPr="006B4871" w:rsidRDefault="005C7EC0" w:rsidP="005C7EC0">
      <w:pPr>
        <w:widowControl w:val="0"/>
        <w:tabs>
          <w:tab w:val="left" w:pos="1080"/>
        </w:tabs>
        <w:suppressAutoHyphens/>
        <w:ind w:left="720"/>
        <w:jc w:val="both"/>
        <w:rPr>
          <w:lang w:val="en-GB"/>
        </w:rPr>
      </w:pPr>
      <w:r w:rsidRPr="006B4871">
        <w:rPr>
          <w:lang w:val="en-GB"/>
        </w:rPr>
        <w:tab/>
      </w:r>
      <w:r w:rsidR="002D29CD" w:rsidRPr="006B4871">
        <w:rPr>
          <w:lang w:val="en-GB"/>
        </w:rPr>
        <w:t>“[t]he above case has been register</w:t>
      </w:r>
      <w:r w:rsidR="00C756F2" w:rsidRPr="006B4871">
        <w:rPr>
          <w:lang w:val="en-GB"/>
        </w:rPr>
        <w:t xml:space="preserve">ed on the complaint of [M.P.] </w:t>
      </w:r>
      <w:r w:rsidR="002D29CD" w:rsidRPr="006B4871">
        <w:rPr>
          <w:lang w:val="en-GB"/>
        </w:rPr>
        <w:t>originally resident of Pecka Banja in Istok Municipality but now living in Montenegro. The complainant suspected about the dead bodies</w:t>
      </w:r>
      <w:r w:rsidR="00F92971" w:rsidRPr="006B4871">
        <w:rPr>
          <w:lang w:val="en-GB"/>
        </w:rPr>
        <w:t xml:space="preserve"> of his three relatives [of Mr Slobodan Vujačić, Mr Luka Petrušić and Mrs Radmila Petrušić] buried in the Studenica village in a Srbija forest. On 05/07/02 after v</w:t>
      </w:r>
      <w:r w:rsidR="008143BC" w:rsidRPr="006B4871">
        <w:rPr>
          <w:lang w:val="en-GB"/>
        </w:rPr>
        <w:t>isiting the scene I photographed</w:t>
      </w:r>
      <w:r w:rsidR="00F92971" w:rsidRPr="006B4871">
        <w:rPr>
          <w:lang w:val="en-GB"/>
        </w:rPr>
        <w:t xml:space="preserve"> the suspected graves in the above forest and I was</w:t>
      </w:r>
      <w:r w:rsidR="007F6FE8" w:rsidRPr="006B4871">
        <w:rPr>
          <w:lang w:val="en-GB"/>
        </w:rPr>
        <w:t xml:space="preserve"> informed by Investigator [O.]</w:t>
      </w:r>
      <w:r w:rsidR="002E4E73" w:rsidRPr="006B4871">
        <w:rPr>
          <w:lang w:val="en-GB"/>
        </w:rPr>
        <w:t xml:space="preserve"> from Istok</w:t>
      </w:r>
      <w:r w:rsidR="00743202" w:rsidRPr="006B4871">
        <w:rPr>
          <w:lang w:val="en-GB"/>
        </w:rPr>
        <w:t xml:space="preserve"> Sta</w:t>
      </w:r>
      <w:r w:rsidR="007F6FE8" w:rsidRPr="006B4871">
        <w:rPr>
          <w:lang w:val="en-GB"/>
        </w:rPr>
        <w:t>tion that some human remains (bones) were recovered from the same graves in the month of March 2002 and a case has been already pending</w:t>
      </w:r>
      <w:r w:rsidR="00743202" w:rsidRPr="006B4871">
        <w:rPr>
          <w:lang w:val="en-GB"/>
        </w:rPr>
        <w:t xml:space="preserve"> investigation with Investigation</w:t>
      </w:r>
      <w:r w:rsidR="007F6FE8" w:rsidRPr="006B4871">
        <w:rPr>
          <w:lang w:val="en-GB"/>
        </w:rPr>
        <w:t xml:space="preserve"> branch Police station Istok in this regard</w:t>
      </w:r>
      <w:r w:rsidR="002E4E73" w:rsidRPr="006B4871">
        <w:rPr>
          <w:lang w:val="en-GB"/>
        </w:rPr>
        <w:t>…</w:t>
      </w:r>
      <w:r w:rsidR="00743202" w:rsidRPr="006B4871">
        <w:rPr>
          <w:lang w:val="en-GB"/>
        </w:rPr>
        <w:t>All of the human remains rec</w:t>
      </w:r>
      <w:r w:rsidR="002E4E73" w:rsidRPr="006B4871">
        <w:rPr>
          <w:lang w:val="en-GB"/>
        </w:rPr>
        <w:t>overed from the scene by Istok Investigation Unit is still in the evidence room of the station and neither sent to any chemical examiner nor to this Unit…The exhibits recovered from the scene by Istok station on 29/03/02 is still in the evidence room of the station and it needs early forensic examination to rule out the possibility of remains</w:t>
      </w:r>
      <w:r w:rsidR="00743202" w:rsidRPr="006B4871">
        <w:rPr>
          <w:lang w:val="en-GB"/>
        </w:rPr>
        <w:t xml:space="preserve"> related to the missing</w:t>
      </w:r>
      <w:r w:rsidR="002E4E73" w:rsidRPr="006B4871">
        <w:rPr>
          <w:lang w:val="en-GB"/>
        </w:rPr>
        <w:t xml:space="preserve"> of this case.”</w:t>
      </w:r>
      <w:bookmarkEnd w:id="25"/>
    </w:p>
    <w:bookmarkEnd w:id="22"/>
    <w:bookmarkEnd w:id="26"/>
    <w:bookmarkEnd w:id="27"/>
    <w:p w:rsidR="00D64ACA" w:rsidRPr="006B4871" w:rsidRDefault="00D64ACA" w:rsidP="00743202">
      <w:pPr>
        <w:widowControl w:val="0"/>
        <w:tabs>
          <w:tab w:val="left" w:pos="360"/>
          <w:tab w:val="left" w:pos="1080"/>
        </w:tabs>
        <w:suppressAutoHyphens/>
        <w:jc w:val="both"/>
        <w:rPr>
          <w:lang w:val="en-GB"/>
        </w:rPr>
      </w:pPr>
    </w:p>
    <w:p w:rsidR="00A67319" w:rsidRPr="006B4871" w:rsidRDefault="00A67319" w:rsidP="000072A4">
      <w:pPr>
        <w:pStyle w:val="ListParagraph"/>
        <w:ind w:left="0"/>
        <w:jc w:val="both"/>
        <w:rPr>
          <w:i/>
          <w:lang w:val="en-GB"/>
        </w:rPr>
      </w:pPr>
      <w:r w:rsidRPr="006B4871">
        <w:rPr>
          <w:i/>
          <w:lang w:val="en-GB"/>
        </w:rPr>
        <w:t>Investigation with regard to perpetrator(s)</w:t>
      </w:r>
    </w:p>
    <w:p w:rsidR="00787BE3" w:rsidRPr="006B4871" w:rsidRDefault="00787BE3" w:rsidP="005547B8">
      <w:pPr>
        <w:rPr>
          <w:lang w:val="en-GB"/>
        </w:rPr>
      </w:pPr>
    </w:p>
    <w:p w:rsidR="00C756F2" w:rsidRPr="006B4871" w:rsidRDefault="00C756F2" w:rsidP="00C756F2">
      <w:pPr>
        <w:widowControl w:val="0"/>
        <w:numPr>
          <w:ilvl w:val="0"/>
          <w:numId w:val="2"/>
        </w:numPr>
        <w:tabs>
          <w:tab w:val="left" w:pos="360"/>
          <w:tab w:val="num" w:pos="630"/>
          <w:tab w:val="left" w:pos="1080"/>
        </w:tabs>
        <w:suppressAutoHyphens/>
        <w:jc w:val="both"/>
        <w:rPr>
          <w:bCs/>
          <w:lang w:val="en-GB"/>
        </w:rPr>
      </w:pPr>
      <w:bookmarkStart w:id="28" w:name="_Ref397949095"/>
      <w:bookmarkStart w:id="29" w:name="_Ref393961966"/>
      <w:bookmarkStart w:id="30" w:name="_Ref373835022"/>
      <w:r w:rsidRPr="006B4871">
        <w:t xml:space="preserve">The investigative file provided by UNMIK does not contain any documents related to the investigation with regard to locating the perpetrators. </w:t>
      </w:r>
    </w:p>
    <w:bookmarkEnd w:id="28"/>
    <w:bookmarkEnd w:id="29"/>
    <w:bookmarkEnd w:id="30"/>
    <w:p w:rsidR="00A62C6D" w:rsidRPr="006B4871" w:rsidRDefault="00A62C6D" w:rsidP="00C756F2">
      <w:pPr>
        <w:pStyle w:val="ListParagraph"/>
        <w:widowControl w:val="0"/>
        <w:tabs>
          <w:tab w:val="left" w:pos="1080"/>
        </w:tabs>
        <w:ind w:left="360"/>
        <w:contextualSpacing/>
        <w:jc w:val="both"/>
        <w:rPr>
          <w:lang w:val="en-GB" w:eastAsia="en-GB"/>
        </w:rPr>
      </w:pPr>
    </w:p>
    <w:p w:rsidR="00242881" w:rsidRPr="006B4871" w:rsidRDefault="00242881" w:rsidP="00F27A88">
      <w:pPr>
        <w:rPr>
          <w:lang w:val="en-GB" w:eastAsia="en-GB"/>
        </w:rPr>
      </w:pPr>
    </w:p>
    <w:p w:rsidR="003E3F85" w:rsidRPr="006B4871" w:rsidRDefault="003E3F85" w:rsidP="003E3F85">
      <w:pPr>
        <w:numPr>
          <w:ilvl w:val="0"/>
          <w:numId w:val="1"/>
        </w:numPr>
        <w:suppressAutoHyphens/>
        <w:autoSpaceDE w:val="0"/>
        <w:ind w:left="360" w:hanging="360"/>
        <w:jc w:val="both"/>
        <w:rPr>
          <w:b/>
          <w:bCs/>
        </w:rPr>
      </w:pPr>
      <w:r w:rsidRPr="006B4871">
        <w:rPr>
          <w:b/>
          <w:bCs/>
          <w:lang w:val="en-GB"/>
        </w:rPr>
        <w:t>THE</w:t>
      </w:r>
      <w:r w:rsidRPr="006B4871">
        <w:rPr>
          <w:b/>
          <w:bCs/>
        </w:rPr>
        <w:t xml:space="preserve"> COMPLAINT</w:t>
      </w:r>
    </w:p>
    <w:p w:rsidR="003E3F85" w:rsidRPr="006B4871" w:rsidRDefault="003E3F85" w:rsidP="003E3F85">
      <w:pPr>
        <w:pStyle w:val="ListParagraph"/>
        <w:tabs>
          <w:tab w:val="left" w:pos="357"/>
        </w:tabs>
        <w:autoSpaceDE w:val="0"/>
        <w:ind w:left="1080"/>
        <w:jc w:val="both"/>
        <w:rPr>
          <w:b/>
          <w:bCs/>
          <w:lang w:val="en-GB"/>
        </w:rPr>
      </w:pPr>
    </w:p>
    <w:p w:rsidR="003E3F85" w:rsidRPr="006B4871" w:rsidRDefault="003E3F85" w:rsidP="003E3F85">
      <w:pPr>
        <w:pStyle w:val="ListParagraph"/>
        <w:numPr>
          <w:ilvl w:val="0"/>
          <w:numId w:val="2"/>
        </w:numPr>
        <w:autoSpaceDE w:val="0"/>
        <w:jc w:val="both"/>
        <w:rPr>
          <w:b/>
          <w:bCs/>
          <w:lang w:val="en-GB"/>
        </w:rPr>
      </w:pPr>
      <w:r w:rsidRPr="006B4871">
        <w:rPr>
          <w:lang w:val="en-GB"/>
        </w:rPr>
        <w:t>The complainant complains about UNMIK’s alleged failure to properly investigate the</w:t>
      </w:r>
      <w:r w:rsidR="00622236" w:rsidRPr="006B4871">
        <w:rPr>
          <w:lang w:val="en-GB"/>
        </w:rPr>
        <w:t xml:space="preserve"> </w:t>
      </w:r>
      <w:r w:rsidR="00954A3E" w:rsidRPr="006B4871">
        <w:rPr>
          <w:lang w:val="en-GB"/>
        </w:rPr>
        <w:t>abduction</w:t>
      </w:r>
      <w:r w:rsidR="00423598" w:rsidRPr="006B4871">
        <w:rPr>
          <w:lang w:val="en-GB"/>
        </w:rPr>
        <w:t xml:space="preserve"> and</w:t>
      </w:r>
      <w:r w:rsidR="00C756F2" w:rsidRPr="006B4871">
        <w:rPr>
          <w:lang w:val="en-GB"/>
        </w:rPr>
        <w:t xml:space="preserve"> probable</w:t>
      </w:r>
      <w:r w:rsidR="00423598" w:rsidRPr="006B4871">
        <w:rPr>
          <w:lang w:val="en-GB"/>
        </w:rPr>
        <w:t xml:space="preserve"> </w:t>
      </w:r>
      <w:r w:rsidR="005C7EC0" w:rsidRPr="006B4871">
        <w:rPr>
          <w:lang w:val="en-GB"/>
        </w:rPr>
        <w:t>killing</w:t>
      </w:r>
      <w:r w:rsidRPr="006B4871">
        <w:rPr>
          <w:lang w:val="en-GB"/>
        </w:rPr>
        <w:t xml:space="preserve"> of </w:t>
      </w:r>
      <w:r w:rsidR="00C756F2" w:rsidRPr="006B4871">
        <w:rPr>
          <w:lang w:val="en-GB"/>
        </w:rPr>
        <w:t>Mr Slobodan Vujačić, Mr Luka Petrušić and Mrs Radmila Petrušić</w:t>
      </w:r>
      <w:r w:rsidRPr="006B4871">
        <w:rPr>
          <w:lang w:val="en-GB"/>
        </w:rPr>
        <w:t>. In this regard, the Panel deems that the complainant invokes a violation of the procedural limb of Article 2 of the European Convention on Human Rights (ECHR).</w:t>
      </w:r>
    </w:p>
    <w:p w:rsidR="00C756F2" w:rsidRPr="006B4871" w:rsidRDefault="00C756F2" w:rsidP="00C756F2">
      <w:pPr>
        <w:pStyle w:val="ListParagraph"/>
        <w:autoSpaceDE w:val="0"/>
        <w:ind w:left="360"/>
        <w:jc w:val="both"/>
        <w:rPr>
          <w:b/>
          <w:bCs/>
          <w:lang w:val="en-GB"/>
        </w:rPr>
      </w:pPr>
    </w:p>
    <w:p w:rsidR="00C756F2" w:rsidRPr="006B4871" w:rsidRDefault="00C756F2" w:rsidP="00C756F2">
      <w:pPr>
        <w:numPr>
          <w:ilvl w:val="0"/>
          <w:numId w:val="2"/>
        </w:numPr>
        <w:jc w:val="both"/>
        <w:rPr>
          <w:color w:val="000000" w:themeColor="text1"/>
          <w:lang w:val="en-GB"/>
        </w:rPr>
      </w:pPr>
      <w:r w:rsidRPr="006B4871">
        <w:rPr>
          <w:color w:val="000000" w:themeColor="text1"/>
          <w:lang w:val="en-GB"/>
        </w:rPr>
        <w:t xml:space="preserve">The complainant also </w:t>
      </w:r>
      <w:r w:rsidRPr="006B4871">
        <w:rPr>
          <w:bCs/>
          <w:color w:val="000000" w:themeColor="text1"/>
          <w:lang w:val="en-GB"/>
        </w:rPr>
        <w:t>complains</w:t>
      </w:r>
      <w:r w:rsidRPr="006B4871">
        <w:rPr>
          <w:color w:val="000000" w:themeColor="text1"/>
          <w:lang w:val="en-GB"/>
        </w:rPr>
        <w:t xml:space="preserve"> about the mental pain and suffering allegedly caused to </w:t>
      </w:r>
      <w:r w:rsidR="00C414F7" w:rsidRPr="006B4871">
        <w:rPr>
          <w:color w:val="000000" w:themeColor="text1"/>
          <w:lang w:val="en-GB"/>
        </w:rPr>
        <w:t>her</w:t>
      </w:r>
      <w:r w:rsidRPr="006B4871">
        <w:rPr>
          <w:color w:val="000000" w:themeColor="text1"/>
          <w:lang w:val="en-GB"/>
        </w:rPr>
        <w:t xml:space="preserve"> by this situation. In this regard, </w:t>
      </w:r>
      <w:r w:rsidR="00C414F7" w:rsidRPr="006B4871">
        <w:rPr>
          <w:color w:val="000000" w:themeColor="text1"/>
          <w:lang w:val="en-GB"/>
        </w:rPr>
        <w:t>s</w:t>
      </w:r>
      <w:r w:rsidRPr="006B4871">
        <w:rPr>
          <w:color w:val="000000" w:themeColor="text1"/>
          <w:lang w:val="en-GB"/>
        </w:rPr>
        <w:t>he relies on Article 3 of the ECHR.</w:t>
      </w:r>
    </w:p>
    <w:p w:rsidR="00C756F2" w:rsidRPr="006B4871" w:rsidRDefault="00C756F2" w:rsidP="00C414F7">
      <w:pPr>
        <w:pStyle w:val="ListParagraph"/>
        <w:autoSpaceDE w:val="0"/>
        <w:ind w:left="360"/>
        <w:jc w:val="both"/>
        <w:rPr>
          <w:b/>
          <w:bCs/>
          <w:lang w:val="en-GB"/>
        </w:rPr>
      </w:pPr>
    </w:p>
    <w:p w:rsidR="003E3F85" w:rsidRPr="006B4871" w:rsidRDefault="003E3F85" w:rsidP="003E3F85">
      <w:pPr>
        <w:autoSpaceDE w:val="0"/>
        <w:jc w:val="both"/>
        <w:rPr>
          <w:b/>
          <w:bCs/>
          <w:lang w:val="en-GB"/>
        </w:rPr>
      </w:pPr>
    </w:p>
    <w:p w:rsidR="003E3F85" w:rsidRPr="006B4871" w:rsidRDefault="003E3F85" w:rsidP="003E3F85">
      <w:pPr>
        <w:autoSpaceDE w:val="0"/>
        <w:jc w:val="both"/>
        <w:rPr>
          <w:b/>
          <w:bCs/>
          <w:lang w:val="en-GB"/>
        </w:rPr>
      </w:pPr>
    </w:p>
    <w:p w:rsidR="003E3F85" w:rsidRPr="006B4871" w:rsidRDefault="003E3F85" w:rsidP="003E3F85">
      <w:pPr>
        <w:numPr>
          <w:ilvl w:val="0"/>
          <w:numId w:val="1"/>
        </w:numPr>
        <w:suppressAutoHyphens/>
        <w:autoSpaceDE w:val="0"/>
        <w:ind w:left="360" w:hanging="360"/>
        <w:jc w:val="both"/>
        <w:rPr>
          <w:b/>
          <w:bCs/>
          <w:lang w:val="en-GB"/>
        </w:rPr>
      </w:pPr>
      <w:r w:rsidRPr="006B4871">
        <w:rPr>
          <w:b/>
          <w:bCs/>
          <w:lang w:val="en-GB"/>
        </w:rPr>
        <w:t>THE LAW</w:t>
      </w:r>
    </w:p>
    <w:p w:rsidR="003E3F85" w:rsidRPr="006B4871" w:rsidRDefault="003E3F85" w:rsidP="003E3F85">
      <w:pPr>
        <w:suppressAutoHyphens/>
        <w:autoSpaceDE w:val="0"/>
        <w:jc w:val="both"/>
        <w:rPr>
          <w:bCs/>
          <w:lang w:val="en-GB"/>
        </w:rPr>
      </w:pPr>
    </w:p>
    <w:p w:rsidR="003E3F85" w:rsidRPr="006B4871" w:rsidRDefault="003E3F85" w:rsidP="003E3F85">
      <w:pPr>
        <w:pStyle w:val="Default"/>
        <w:numPr>
          <w:ilvl w:val="0"/>
          <w:numId w:val="4"/>
        </w:numPr>
        <w:jc w:val="both"/>
        <w:rPr>
          <w:b/>
          <w:color w:val="auto"/>
          <w:lang w:val="en-GB"/>
        </w:rPr>
      </w:pPr>
      <w:r w:rsidRPr="006B4871">
        <w:rPr>
          <w:b/>
          <w:color w:val="auto"/>
          <w:lang w:val="en-GB"/>
        </w:rPr>
        <w:t>Alleged violation of the procedural obligation under</w:t>
      </w:r>
      <w:r w:rsidRPr="006B4871">
        <w:rPr>
          <w:b/>
          <w:i/>
          <w:color w:val="auto"/>
          <w:lang w:val="en-GB"/>
        </w:rPr>
        <w:t xml:space="preserve"> </w:t>
      </w:r>
      <w:r w:rsidRPr="006B4871">
        <w:rPr>
          <w:b/>
          <w:color w:val="auto"/>
          <w:lang w:val="en-GB"/>
        </w:rPr>
        <w:t xml:space="preserve">Article 2 of the ECHR </w:t>
      </w:r>
    </w:p>
    <w:p w:rsidR="003E3F85" w:rsidRPr="006B4871" w:rsidRDefault="003E3F85" w:rsidP="003E3F85">
      <w:pPr>
        <w:tabs>
          <w:tab w:val="left" w:pos="630"/>
          <w:tab w:val="left" w:pos="2790"/>
        </w:tabs>
        <w:suppressAutoHyphens/>
        <w:autoSpaceDE w:val="0"/>
        <w:jc w:val="both"/>
        <w:rPr>
          <w:bCs/>
          <w:lang w:val="en-GB"/>
        </w:rPr>
      </w:pPr>
    </w:p>
    <w:p w:rsidR="003E3F85" w:rsidRPr="006B4871" w:rsidRDefault="003E3F85" w:rsidP="003E3F85">
      <w:pPr>
        <w:pStyle w:val="ListParagraph"/>
        <w:numPr>
          <w:ilvl w:val="1"/>
          <w:numId w:val="1"/>
        </w:numPr>
        <w:tabs>
          <w:tab w:val="clear" w:pos="360"/>
          <w:tab w:val="left" w:pos="357"/>
        </w:tabs>
        <w:autoSpaceDE w:val="0"/>
        <w:contextualSpacing/>
        <w:jc w:val="both"/>
        <w:rPr>
          <w:b/>
          <w:bCs/>
          <w:lang w:val="en-GB"/>
        </w:rPr>
      </w:pPr>
      <w:r w:rsidRPr="006B4871">
        <w:rPr>
          <w:b/>
          <w:bCs/>
          <w:lang w:val="en-GB"/>
        </w:rPr>
        <w:t>The scope of the Panel’s review</w:t>
      </w:r>
    </w:p>
    <w:p w:rsidR="003E3F85" w:rsidRPr="006B4871" w:rsidRDefault="003E3F85" w:rsidP="003E3F85">
      <w:pPr>
        <w:suppressAutoHyphens/>
        <w:autoSpaceDE w:val="0"/>
        <w:jc w:val="both"/>
        <w:rPr>
          <w:bCs/>
          <w:lang w:val="en-GB"/>
        </w:rPr>
      </w:pPr>
    </w:p>
    <w:p w:rsidR="003E3F85" w:rsidRPr="006B4871" w:rsidRDefault="003E3F85" w:rsidP="003E3F85">
      <w:pPr>
        <w:pStyle w:val="ListParagraph"/>
        <w:numPr>
          <w:ilvl w:val="0"/>
          <w:numId w:val="2"/>
        </w:numPr>
        <w:autoSpaceDE w:val="0"/>
        <w:jc w:val="both"/>
        <w:rPr>
          <w:bCs/>
          <w:lang w:val="en-GB"/>
        </w:rPr>
      </w:pPr>
      <w:bookmarkStart w:id="31" w:name="_Ref405286013"/>
      <w:r w:rsidRPr="006B4871">
        <w:rPr>
          <w:bCs/>
          <w:lang w:val="en-GB"/>
        </w:rPr>
        <w:t>Before turning to the examination of the merits of the complaint, the Panel needs to clarify the scope of its review.</w:t>
      </w:r>
      <w:bookmarkEnd w:id="31"/>
    </w:p>
    <w:p w:rsidR="003E3F85" w:rsidRPr="006B4871" w:rsidRDefault="003E3F85" w:rsidP="003E3F85">
      <w:pPr>
        <w:autoSpaceDE w:val="0"/>
        <w:jc w:val="both"/>
        <w:rPr>
          <w:bCs/>
          <w:lang w:val="en-GB"/>
        </w:rPr>
      </w:pPr>
    </w:p>
    <w:p w:rsidR="003E3F85" w:rsidRPr="006B4871" w:rsidRDefault="003E3F85" w:rsidP="003E3F85">
      <w:pPr>
        <w:pStyle w:val="ListParagraph"/>
        <w:numPr>
          <w:ilvl w:val="0"/>
          <w:numId w:val="2"/>
        </w:numPr>
        <w:autoSpaceDE w:val="0"/>
        <w:jc w:val="both"/>
        <w:rPr>
          <w:lang w:val="en-GB"/>
        </w:rPr>
      </w:pPr>
      <w:bookmarkStart w:id="32" w:name="_Ref366160496"/>
      <w:r w:rsidRPr="006B4871">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2"/>
      <w:r w:rsidRPr="006B4871">
        <w:rPr>
          <w:lang w:val="en-GB"/>
        </w:rPr>
        <w:t xml:space="preserve"> </w:t>
      </w:r>
    </w:p>
    <w:p w:rsidR="003E3F85" w:rsidRPr="006B4871" w:rsidRDefault="003E3F85" w:rsidP="003E3F85">
      <w:pPr>
        <w:tabs>
          <w:tab w:val="left" w:pos="360"/>
        </w:tabs>
        <w:autoSpaceDE w:val="0"/>
        <w:ind w:left="360" w:hanging="360"/>
        <w:jc w:val="both"/>
        <w:rPr>
          <w:bCs/>
          <w:lang w:val="en-GB"/>
        </w:rPr>
      </w:pPr>
    </w:p>
    <w:p w:rsidR="003E3F85" w:rsidRPr="006B4871" w:rsidRDefault="003E3F85" w:rsidP="003E3F85">
      <w:pPr>
        <w:numPr>
          <w:ilvl w:val="0"/>
          <w:numId w:val="2"/>
        </w:numPr>
        <w:suppressAutoHyphens/>
        <w:autoSpaceDE w:val="0"/>
        <w:jc w:val="both"/>
        <w:rPr>
          <w:lang w:val="en-GB"/>
        </w:rPr>
      </w:pPr>
      <w:bookmarkStart w:id="33" w:name="_Ref347321462"/>
      <w:bookmarkStart w:id="34" w:name="_Ref317418022"/>
      <w:r w:rsidRPr="006B4871">
        <w:rPr>
          <w:lang w:val="en-GB" w:eastAsia="nl-BE"/>
        </w:rPr>
        <w:t xml:space="preserve">The </w:t>
      </w:r>
      <w:r w:rsidRPr="006B4871">
        <w:rPr>
          <w:bCs/>
          <w:lang w:val="en-GB"/>
        </w:rPr>
        <w:t>Panel</w:t>
      </w:r>
      <w:r w:rsidRPr="006B4871">
        <w:rPr>
          <w:lang w:val="en-GB" w:eastAsia="nl-BE"/>
        </w:rPr>
        <w:t xml:space="preserve"> notes that with the adoption of the UNMIK Regulation No. 1999/1 on 25 July 1999 UNMIK undertook an obligation to observe internationally recognised human </w:t>
      </w:r>
      <w:r w:rsidRPr="006B4871">
        <w:rPr>
          <w:bCs/>
          <w:lang w:val="en-GB"/>
        </w:rPr>
        <w:t>rights</w:t>
      </w:r>
      <w:r w:rsidRPr="006B4871">
        <w:rPr>
          <w:lang w:val="en-GB" w:eastAsia="nl-BE"/>
        </w:rPr>
        <w:t xml:space="preserve"> standards in exercising its functions. This undertaking was detailed  in UNMIK Regulation No. 1999/24 of 12 December 1999, by which UNMIK assumed obligations under the following human rights instruments</w:t>
      </w:r>
      <w:r w:rsidRPr="006B487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6B4871">
          <w:rPr>
            <w:rStyle w:val="Hyperlink"/>
            <w:color w:val="auto"/>
            <w:u w:val="none"/>
            <w:lang w:val="en-GB"/>
          </w:rPr>
          <w:t>the Convention Against Torture and Other Cruel, Inhuman or Degrading Treatment or Punishment</w:t>
        </w:r>
      </w:hyperlink>
      <w:r w:rsidRPr="006B4871">
        <w:rPr>
          <w:lang w:val="en-GB"/>
        </w:rPr>
        <w:t>, the Convention on the Rights of the Child.</w:t>
      </w:r>
      <w:bookmarkEnd w:id="33"/>
    </w:p>
    <w:p w:rsidR="003E3F85" w:rsidRPr="006B4871" w:rsidRDefault="003E3F85" w:rsidP="003E3F85">
      <w:pPr>
        <w:tabs>
          <w:tab w:val="left" w:pos="360"/>
        </w:tabs>
        <w:suppressAutoHyphens/>
        <w:autoSpaceDE w:val="0"/>
        <w:ind w:left="360" w:hanging="360"/>
        <w:jc w:val="both"/>
        <w:rPr>
          <w:lang w:val="en-GB"/>
        </w:rPr>
      </w:pPr>
      <w:bookmarkStart w:id="35" w:name="_Ref317493050"/>
    </w:p>
    <w:p w:rsidR="003E3F85" w:rsidRPr="006B4871" w:rsidRDefault="003E3F85" w:rsidP="003E3F85">
      <w:pPr>
        <w:numPr>
          <w:ilvl w:val="0"/>
          <w:numId w:val="2"/>
        </w:numPr>
        <w:suppressAutoHyphens/>
        <w:autoSpaceDE w:val="0"/>
        <w:jc w:val="both"/>
        <w:rPr>
          <w:lang w:val="en-GB"/>
        </w:rPr>
      </w:pPr>
      <w:bookmarkStart w:id="36" w:name="_Ref347495661"/>
      <w:r w:rsidRPr="006B4871">
        <w:rPr>
          <w:rFonts w:cs="CAGLHH+TimesNewRoman"/>
          <w:lang w:val="en-GB"/>
        </w:rPr>
        <w:t xml:space="preserve">The Panel also notes that Section 1.2 of </w:t>
      </w:r>
      <w:r w:rsidRPr="006B4871">
        <w:rPr>
          <w:bCs/>
          <w:lang w:val="en-GB"/>
        </w:rPr>
        <w:t xml:space="preserve">UNMIK Regulation No. 2006/12 of 23 March 2006 on the Establishment of the Human Rights Advisory Panel </w:t>
      </w:r>
      <w:r w:rsidRPr="006B4871">
        <w:rPr>
          <w:rFonts w:cs="CAGLHH+TimesNewRoman"/>
          <w:lang w:val="en-GB"/>
        </w:rPr>
        <w:t xml:space="preserve">provides that the Panel “shall examine complaints from any person or group of individuals claiming to be the victim of a violation by UNMIK of (their) human rights”. It </w:t>
      </w:r>
      <w:r w:rsidRPr="006B4871">
        <w:rPr>
          <w:bCs/>
          <w:lang w:val="en-GB"/>
        </w:rPr>
        <w:t>follows</w:t>
      </w:r>
      <w:r w:rsidRPr="006B4871">
        <w:rPr>
          <w:rFonts w:cs="CAGLHH+TimesNewRoman"/>
          <w:lang w:val="en-GB"/>
        </w:rPr>
        <w:t xml:space="preserve"> that only acts or omissions attributable to UNMIK fall within the jurisdiction </w:t>
      </w:r>
      <w:r w:rsidRPr="006B4871">
        <w:rPr>
          <w:rFonts w:cs="CAGLHH+TimesNewRoman"/>
          <w:i/>
          <w:lang w:val="en-GB"/>
        </w:rPr>
        <w:t>ratione personae</w:t>
      </w:r>
      <w:r w:rsidRPr="006B4871">
        <w:rPr>
          <w:rFonts w:cs="CAGLHH+TimesNewRoman"/>
          <w:lang w:val="en-GB"/>
        </w:rPr>
        <w:t xml:space="preserve"> of the Panel. In this respect, it should be noted, as stated above, that as of </w:t>
      </w:r>
      <w:r w:rsidRPr="006B4871">
        <w:rPr>
          <w:lang w:val="en-GB"/>
        </w:rPr>
        <w:t xml:space="preserve">9 December 2008, UNMIK </w:t>
      </w:r>
      <w:r w:rsidRPr="006B487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6B4871">
        <w:rPr>
          <w:bCs/>
          <w:i/>
          <w:lang w:val="en-GB"/>
        </w:rPr>
        <w:t>ratione personae</w:t>
      </w:r>
      <w:r w:rsidRPr="006B4871">
        <w:rPr>
          <w:bCs/>
          <w:lang w:val="en-GB"/>
        </w:rPr>
        <w:t xml:space="preserve"> of the Panel.</w:t>
      </w:r>
      <w:bookmarkEnd w:id="35"/>
      <w:bookmarkEnd w:id="36"/>
    </w:p>
    <w:p w:rsidR="003E3F85" w:rsidRPr="006B4871" w:rsidRDefault="003E3F85" w:rsidP="003E3F85">
      <w:pPr>
        <w:pStyle w:val="ListParagraph"/>
        <w:tabs>
          <w:tab w:val="left" w:pos="360"/>
        </w:tabs>
        <w:ind w:left="360" w:hanging="360"/>
        <w:rPr>
          <w:lang w:val="en-GB"/>
        </w:rPr>
      </w:pPr>
    </w:p>
    <w:p w:rsidR="003E3F85" w:rsidRPr="006B4871" w:rsidRDefault="003E3F85" w:rsidP="003E3F85">
      <w:pPr>
        <w:numPr>
          <w:ilvl w:val="0"/>
          <w:numId w:val="2"/>
        </w:numPr>
        <w:suppressAutoHyphens/>
        <w:autoSpaceDE w:val="0"/>
        <w:jc w:val="both"/>
        <w:rPr>
          <w:bCs/>
          <w:lang w:val="en-GB"/>
        </w:rPr>
      </w:pPr>
      <w:r w:rsidRPr="006B4871">
        <w:rPr>
          <w:rFonts w:cs="CAGLHH+TimesNewRoman"/>
          <w:lang w:val="en-GB"/>
        </w:rPr>
        <w:t xml:space="preserve">Likewise, the Panel emphasises that, as far as its jurisdiction </w:t>
      </w:r>
      <w:r w:rsidRPr="006B4871">
        <w:rPr>
          <w:rFonts w:cs="CAGLHH+TimesNewRoman"/>
          <w:i/>
          <w:lang w:val="en-GB"/>
        </w:rPr>
        <w:t>ratione materiae</w:t>
      </w:r>
      <w:r w:rsidRPr="006B4871">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757455">
        <w:fldChar w:fldCharType="begin"/>
      </w:r>
      <w:r w:rsidR="00757455">
        <w:instrText xml:space="preserve"> REF _Ref347321462 \r \h  \* MERGEFORMAT </w:instrText>
      </w:r>
      <w:r w:rsidR="00757455">
        <w:fldChar w:fldCharType="separate"/>
      </w:r>
      <w:r w:rsidR="009E21A4" w:rsidRPr="009E21A4">
        <w:rPr>
          <w:rFonts w:cs="CAGLHH+TimesNewRoman"/>
          <w:lang w:val="en-GB"/>
        </w:rPr>
        <w:t>35</w:t>
      </w:r>
      <w:r w:rsidR="00757455">
        <w:fldChar w:fldCharType="end"/>
      </w:r>
      <w:r w:rsidRPr="006B4871">
        <w:rPr>
          <w:rFonts w:cs="CAGLHH+TimesNewRoman"/>
          <w:lang w:val="en-GB"/>
        </w:rPr>
        <w:t>).</w:t>
      </w:r>
      <w:r w:rsidRPr="006B487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6B4871" w:rsidRDefault="003E3F85" w:rsidP="003E3F85">
      <w:pPr>
        <w:pStyle w:val="ListParagraph"/>
        <w:tabs>
          <w:tab w:val="left" w:pos="360"/>
        </w:tabs>
        <w:ind w:left="360" w:hanging="360"/>
        <w:rPr>
          <w:bCs/>
          <w:lang w:val="en-GB"/>
        </w:rPr>
      </w:pPr>
    </w:p>
    <w:p w:rsidR="003E3F85" w:rsidRPr="006B4871" w:rsidRDefault="003E3F85" w:rsidP="003E3F85">
      <w:pPr>
        <w:numPr>
          <w:ilvl w:val="0"/>
          <w:numId w:val="2"/>
        </w:numPr>
        <w:tabs>
          <w:tab w:val="left" w:pos="630"/>
          <w:tab w:val="left" w:pos="2790"/>
        </w:tabs>
        <w:suppressAutoHyphens/>
        <w:autoSpaceDE w:val="0"/>
        <w:jc w:val="both"/>
        <w:rPr>
          <w:bCs/>
          <w:lang w:val="en-GB"/>
        </w:rPr>
      </w:pPr>
      <w:bookmarkStart w:id="37" w:name="_Ref346123885"/>
      <w:r w:rsidRPr="006B4871">
        <w:rPr>
          <w:bCs/>
          <w:lang w:val="en-GB"/>
        </w:rPr>
        <w:t>The Panel further notes that Section 2 of UNMIK Regulation No. 2006/12 provides that t</w:t>
      </w:r>
      <w:r w:rsidRPr="006B4871">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B4871">
        <w:rPr>
          <w:rFonts w:cs="CAGLHH+TimesNewRoman"/>
          <w:i/>
          <w:lang w:val="en-GB"/>
        </w:rPr>
        <w:t>ratione temporis</w:t>
      </w:r>
      <w:r w:rsidRPr="006B4871">
        <w:rPr>
          <w:rFonts w:cs="CAGLHH+TimesNewRoman"/>
          <w:lang w:val="en-GB"/>
        </w:rPr>
        <w:t xml:space="preserve"> of the Panel. However, to the extent that such events gave rise to a continuing situation, the Panel has jurisdiction to examine complaints relating to that situation</w:t>
      </w:r>
      <w:bookmarkEnd w:id="34"/>
      <w:r w:rsidRPr="006B4871">
        <w:rPr>
          <w:rFonts w:cs="CAGLHH+TimesNewRoman"/>
          <w:lang w:val="en-GB"/>
        </w:rPr>
        <w:t xml:space="preserve"> (see European Court of Human Rights (ECtHR), Grand Chamber [GC], </w:t>
      </w:r>
      <w:r w:rsidRPr="006B4871">
        <w:rPr>
          <w:rFonts w:cs="CAGLHH+TimesNewRoman"/>
          <w:i/>
          <w:lang w:val="en-GB"/>
        </w:rPr>
        <w:t>Varnava and Others v. Turkey</w:t>
      </w:r>
      <w:r w:rsidRPr="006B4871">
        <w:rPr>
          <w:rFonts w:cs="CAGLHH+TimesNewRoman"/>
          <w:lang w:val="en-GB"/>
        </w:rPr>
        <w:t xml:space="preserve">, nos. 16064/90 and others, judgment of 18 September 2009, §§ 147-149; ECtHR, </w:t>
      </w:r>
      <w:r w:rsidRPr="006B4871">
        <w:rPr>
          <w:rFonts w:cs="CAGLHH+TimesNewRoman"/>
          <w:i/>
          <w:lang w:val="en-GB"/>
        </w:rPr>
        <w:t xml:space="preserve">Cyprus v. Turkey </w:t>
      </w:r>
      <w:r w:rsidRPr="006B4871">
        <w:rPr>
          <w:rFonts w:cs="CAGLHH+TimesNewRoman"/>
          <w:lang w:val="en-GB"/>
        </w:rPr>
        <w:t xml:space="preserve">[GC] no. </w:t>
      </w:r>
      <w:r w:rsidRPr="006B4871">
        <w:rPr>
          <w:rStyle w:val="s85f22697"/>
          <w:lang w:val="en-GB"/>
        </w:rPr>
        <w:t>25781/94, judgment of 10 May 2001,</w:t>
      </w:r>
      <w:r w:rsidRPr="006B4871">
        <w:rPr>
          <w:rFonts w:cs="CAGLHH+TimesNewRoman"/>
          <w:lang w:val="en-GB"/>
        </w:rPr>
        <w:t xml:space="preserve"> § 136, ECHR 2001-IV).</w:t>
      </w:r>
      <w:bookmarkEnd w:id="37"/>
      <w:r w:rsidRPr="006B4871">
        <w:rPr>
          <w:rFonts w:cs="CAGLHH+TimesNewRoman"/>
          <w:lang w:val="en-GB"/>
        </w:rPr>
        <w:t xml:space="preserve"> </w:t>
      </w:r>
    </w:p>
    <w:p w:rsidR="003E3F85" w:rsidRPr="006B4871" w:rsidRDefault="003E3F85" w:rsidP="003E3F85">
      <w:pPr>
        <w:jc w:val="both"/>
        <w:rPr>
          <w:lang w:val="en-GB"/>
        </w:rPr>
      </w:pPr>
    </w:p>
    <w:p w:rsidR="003E3F85" w:rsidRPr="006B4871" w:rsidRDefault="003E3F85" w:rsidP="003E3F85">
      <w:pPr>
        <w:pStyle w:val="ListParagraph"/>
        <w:numPr>
          <w:ilvl w:val="1"/>
          <w:numId w:val="1"/>
        </w:numPr>
        <w:tabs>
          <w:tab w:val="clear" w:pos="360"/>
          <w:tab w:val="left" w:pos="357"/>
        </w:tabs>
        <w:autoSpaceDE w:val="0"/>
        <w:contextualSpacing/>
        <w:jc w:val="both"/>
        <w:rPr>
          <w:b/>
          <w:bCs/>
          <w:lang w:val="en-GB"/>
        </w:rPr>
      </w:pPr>
      <w:r w:rsidRPr="006B4871">
        <w:rPr>
          <w:b/>
          <w:bCs/>
          <w:lang w:val="en-GB"/>
        </w:rPr>
        <w:t xml:space="preserve">The Parties’ submissions </w:t>
      </w:r>
    </w:p>
    <w:p w:rsidR="003E3F85" w:rsidRPr="006B4871" w:rsidRDefault="003E3F85" w:rsidP="003E3F85">
      <w:pPr>
        <w:rPr>
          <w:b/>
          <w:lang w:val="en-GB"/>
        </w:rPr>
      </w:pPr>
    </w:p>
    <w:p w:rsidR="003E3F85" w:rsidRPr="006B4871" w:rsidRDefault="003E3F85" w:rsidP="003E3F85">
      <w:pPr>
        <w:numPr>
          <w:ilvl w:val="0"/>
          <w:numId w:val="2"/>
        </w:numPr>
        <w:suppressAutoHyphens/>
        <w:autoSpaceDE w:val="0"/>
        <w:jc w:val="both"/>
        <w:rPr>
          <w:lang w:val="en-GB"/>
        </w:rPr>
      </w:pPr>
      <w:r w:rsidRPr="006B4871">
        <w:rPr>
          <w:lang w:val="en-GB"/>
        </w:rPr>
        <w:t>The complainant in substance alleges a violation concerning the lack of an adequate criminal investigation into</w:t>
      </w:r>
      <w:r w:rsidR="002948A6" w:rsidRPr="006B4871">
        <w:rPr>
          <w:lang w:val="en-GB"/>
        </w:rPr>
        <w:t xml:space="preserve"> the</w:t>
      </w:r>
      <w:r w:rsidR="00622236" w:rsidRPr="006B4871">
        <w:rPr>
          <w:lang w:val="en-GB"/>
        </w:rPr>
        <w:t xml:space="preserve"> </w:t>
      </w:r>
      <w:r w:rsidR="001C41DB" w:rsidRPr="006B4871">
        <w:rPr>
          <w:lang w:val="en-GB"/>
        </w:rPr>
        <w:t>abduction and probable</w:t>
      </w:r>
      <w:r w:rsidR="005C7EC0" w:rsidRPr="006B4871">
        <w:rPr>
          <w:lang w:val="en-GB"/>
        </w:rPr>
        <w:t xml:space="preserve"> killing</w:t>
      </w:r>
      <w:r w:rsidR="001C41DB" w:rsidRPr="006B4871">
        <w:rPr>
          <w:lang w:val="en-GB"/>
        </w:rPr>
        <w:t xml:space="preserve"> of Mr Slobodan Vujačić, Mr Luka Petrušić and Mrs Radmila Petrušić</w:t>
      </w:r>
      <w:r w:rsidR="002948A6" w:rsidRPr="006B4871">
        <w:rPr>
          <w:lang w:val="en-GB"/>
        </w:rPr>
        <w:t>.</w:t>
      </w:r>
    </w:p>
    <w:p w:rsidR="002948A6" w:rsidRPr="006B4871" w:rsidRDefault="002948A6" w:rsidP="002948A6">
      <w:pPr>
        <w:suppressAutoHyphens/>
        <w:autoSpaceDE w:val="0"/>
        <w:ind w:left="360"/>
        <w:jc w:val="both"/>
        <w:rPr>
          <w:lang w:val="en-GB"/>
        </w:rPr>
      </w:pPr>
    </w:p>
    <w:p w:rsidR="003E3F85" w:rsidRPr="006B4871" w:rsidRDefault="003E3F85" w:rsidP="003E3F85">
      <w:pPr>
        <w:numPr>
          <w:ilvl w:val="0"/>
          <w:numId w:val="2"/>
        </w:numPr>
        <w:suppressAutoHyphens/>
        <w:autoSpaceDE w:val="0"/>
        <w:jc w:val="both"/>
        <w:rPr>
          <w:bCs/>
          <w:lang w:val="en-GB"/>
        </w:rPr>
      </w:pPr>
      <w:r w:rsidRPr="006B4871">
        <w:rPr>
          <w:bCs/>
          <w:lang w:val="en-GB"/>
        </w:rPr>
        <w:t xml:space="preserve">In his comments on the merits of the complaint, the SRSG </w:t>
      </w:r>
      <w:r w:rsidRPr="006B4871">
        <w:rPr>
          <w:lang w:val="en-GB"/>
        </w:rPr>
        <w:t xml:space="preserve">does not dispute </w:t>
      </w:r>
      <w:r w:rsidRPr="006B4871">
        <w:rPr>
          <w:bCs/>
          <w:lang w:val="en-GB"/>
        </w:rPr>
        <w:t xml:space="preserve">that UNMIK had a responsibility to conduct an effective investigation into </w:t>
      </w:r>
      <w:r w:rsidR="00622236" w:rsidRPr="006B4871">
        <w:rPr>
          <w:lang w:val="en-GB"/>
        </w:rPr>
        <w:t xml:space="preserve">the </w:t>
      </w:r>
      <w:r w:rsidR="001C41DB" w:rsidRPr="006B4871">
        <w:rPr>
          <w:lang w:val="en-GB"/>
        </w:rPr>
        <w:t>abduction and probable</w:t>
      </w:r>
      <w:r w:rsidR="005C7EC0" w:rsidRPr="006B4871">
        <w:rPr>
          <w:lang w:val="en-GB"/>
        </w:rPr>
        <w:t xml:space="preserve"> killing</w:t>
      </w:r>
      <w:r w:rsidR="001C41DB" w:rsidRPr="006B4871">
        <w:rPr>
          <w:lang w:val="en-GB"/>
        </w:rPr>
        <w:t xml:space="preserve"> of Mr Slobodan Vujačić, Mr Luka Petrušić and Mrs Radmila Petrušić</w:t>
      </w:r>
      <w:r w:rsidR="005C7EC0" w:rsidRPr="006B4871">
        <w:rPr>
          <w:lang w:val="en-GB"/>
        </w:rPr>
        <w:t>,</w:t>
      </w:r>
      <w:r w:rsidRPr="006B4871">
        <w:rPr>
          <w:bCs/>
          <w:lang w:val="en-GB"/>
        </w:rPr>
        <w:t xml:space="preserve"> in line with its general obligation to secure the effective implementation of the domestic laws which protect the right to life, given to it by UN Security Council Resolution 1244 (1999) (see § </w:t>
      </w:r>
      <w:r w:rsidR="00757455">
        <w:fldChar w:fldCharType="begin"/>
      </w:r>
      <w:r w:rsidR="00757455">
        <w:instrText xml:space="preserve"> REF _Ref373941473 \r \h  \* MERGEFORMAT </w:instrText>
      </w:r>
      <w:r w:rsidR="00757455">
        <w:fldChar w:fldCharType="separate"/>
      </w:r>
      <w:r w:rsidR="009E21A4">
        <w:t>9</w:t>
      </w:r>
      <w:r w:rsidR="00757455">
        <w:fldChar w:fldCharType="end"/>
      </w:r>
      <w:r w:rsidRPr="006B4871">
        <w:rPr>
          <w:bCs/>
          <w:lang w:val="en-GB"/>
        </w:rPr>
        <w:t xml:space="preserve"> above) and further defined by UNMIK Regulation No. 1999/1 </w:t>
      </w:r>
      <w:r w:rsidRPr="006B4871">
        <w:rPr>
          <w:bCs/>
          <w:i/>
          <w:lang w:val="en-GB"/>
        </w:rPr>
        <w:t>On the Authority of the Interim Administration in Kosovo</w:t>
      </w:r>
      <w:r w:rsidRPr="006B4871">
        <w:rPr>
          <w:bCs/>
          <w:lang w:val="en-GB"/>
        </w:rPr>
        <w:t xml:space="preserve"> and subsequently, UNMIK Regulation 1999/24 </w:t>
      </w:r>
      <w:r w:rsidRPr="006B4871">
        <w:rPr>
          <w:bCs/>
          <w:i/>
          <w:lang w:val="en-GB"/>
        </w:rPr>
        <w:t>On the Law Applicable in Kosovo,</w:t>
      </w:r>
      <w:r w:rsidRPr="006B4871">
        <w:rPr>
          <w:bCs/>
          <w:lang w:val="en-GB"/>
        </w:rPr>
        <w:t xml:space="preserve"> and Article 2 of the ECHR.</w:t>
      </w:r>
    </w:p>
    <w:p w:rsidR="003E3F85" w:rsidRPr="006B4871" w:rsidRDefault="003E3F85" w:rsidP="003E3F85">
      <w:pPr>
        <w:suppressAutoHyphens/>
        <w:autoSpaceDE w:val="0"/>
        <w:ind w:left="360"/>
        <w:jc w:val="both"/>
        <w:rPr>
          <w:bCs/>
          <w:lang w:val="en-GB"/>
        </w:rPr>
      </w:pPr>
    </w:p>
    <w:p w:rsidR="003E3F85" w:rsidRPr="006B4871" w:rsidRDefault="003E3F85" w:rsidP="003E3F85">
      <w:pPr>
        <w:numPr>
          <w:ilvl w:val="0"/>
          <w:numId w:val="2"/>
        </w:numPr>
        <w:suppressAutoHyphens/>
        <w:autoSpaceDE w:val="0"/>
        <w:jc w:val="both"/>
        <w:rPr>
          <w:bCs/>
          <w:lang w:val="en-GB"/>
        </w:rPr>
      </w:pPr>
      <w:r w:rsidRPr="006B4871">
        <w:t>In this regard, the SRSG stresses that this responsibility stems from the procedural obligation under Article 2 of the ECHR to conduct an effective investigation where death occurs in suspicious circumstances not imputable to State agents.</w:t>
      </w:r>
      <w:bookmarkStart w:id="38" w:name="_Ref347846976"/>
      <w:r w:rsidRPr="006B4871">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8"/>
    </w:p>
    <w:p w:rsidR="00BD43B1" w:rsidRPr="006B4871" w:rsidRDefault="00BD43B1" w:rsidP="00BD43B1">
      <w:pPr>
        <w:pStyle w:val="ListParagraph"/>
        <w:rPr>
          <w:bCs/>
          <w:lang w:val="en-GB"/>
        </w:rPr>
      </w:pPr>
    </w:p>
    <w:p w:rsidR="00BD43B1" w:rsidRPr="006B4871" w:rsidRDefault="00BD43B1" w:rsidP="00BD43B1">
      <w:pPr>
        <w:numPr>
          <w:ilvl w:val="0"/>
          <w:numId w:val="2"/>
        </w:numPr>
        <w:tabs>
          <w:tab w:val="left" w:pos="709"/>
        </w:tabs>
        <w:suppressAutoHyphens/>
        <w:autoSpaceDE w:val="0"/>
        <w:jc w:val="both"/>
        <w:rPr>
          <w:lang w:eastAsia="nl-NL"/>
        </w:rPr>
      </w:pPr>
      <w:r w:rsidRPr="006B4871">
        <w:t xml:space="preserve">The </w:t>
      </w:r>
      <w:r w:rsidRPr="006B4871">
        <w:rPr>
          <w:bCs/>
          <w:lang w:val="en-GB"/>
        </w:rPr>
        <w:t>SRSG</w:t>
      </w:r>
      <w:r w:rsidRPr="006B4871">
        <w:t xml:space="preserve"> considers that the obligation is two-fold, including an obligation to determine through investigation the fate and/or whereabouts of the dead person; and an obligation to </w:t>
      </w:r>
      <w:r w:rsidRPr="006B4871">
        <w:lastRenderedPageBreak/>
        <w:t>conduct an investigation capable of determining whether the death was caused unlawfully and leading to the identification and punishment of those responsible for the disappearance and/or death of the missing person.</w:t>
      </w:r>
    </w:p>
    <w:p w:rsidR="003E3F85" w:rsidRPr="006B4871" w:rsidRDefault="003E3F85" w:rsidP="003E3F85">
      <w:pPr>
        <w:pStyle w:val="ListParagraph"/>
        <w:rPr>
          <w:lang w:val="en-GB"/>
        </w:rPr>
      </w:pPr>
    </w:p>
    <w:p w:rsidR="003E3F85" w:rsidRPr="006B4871" w:rsidRDefault="00A62C6D" w:rsidP="003E3F85">
      <w:pPr>
        <w:numPr>
          <w:ilvl w:val="0"/>
          <w:numId w:val="2"/>
        </w:numPr>
        <w:tabs>
          <w:tab w:val="left" w:pos="709"/>
        </w:tabs>
        <w:suppressAutoHyphens/>
        <w:autoSpaceDE w:val="0"/>
        <w:jc w:val="both"/>
        <w:rPr>
          <w:bCs/>
          <w:lang w:val="en-GB"/>
        </w:rPr>
      </w:pPr>
      <w:r w:rsidRPr="006B4871">
        <w:rPr>
          <w:lang w:val="en-GB"/>
        </w:rPr>
        <w:t>The SRSG adds that from June</w:t>
      </w:r>
      <w:r w:rsidR="003E3F85" w:rsidRPr="006B4871">
        <w:rPr>
          <w:lang w:val="en-GB"/>
        </w:rPr>
        <w:t xml:space="preserve"> 1999, “the security situation </w:t>
      </w:r>
      <w:r w:rsidR="00622236" w:rsidRPr="006B4871">
        <w:rPr>
          <w:lang w:val="en-GB"/>
        </w:rPr>
        <w:t xml:space="preserve">in post-conflict </w:t>
      </w:r>
      <w:r w:rsidR="001C41DB" w:rsidRPr="006B4871">
        <w:rPr>
          <w:lang w:val="en-GB"/>
        </w:rPr>
        <w:t>Kosovo remained tense.</w:t>
      </w:r>
      <w:r w:rsidR="00622236" w:rsidRPr="006B4871">
        <w:rPr>
          <w:lang w:val="en-GB"/>
        </w:rPr>
        <w:t xml:space="preserve"> </w:t>
      </w:r>
      <w:r w:rsidR="003E3F85" w:rsidRPr="006B4871">
        <w:rPr>
          <w:lang w:val="en-GB"/>
        </w:rPr>
        <w:t>KFOR was still in the process of reaching sufficient strength to maintain public safety and law and order and there were a number of serious criminal incidents targeting Kosovo-Serbs, including abductions and killings.”</w:t>
      </w:r>
    </w:p>
    <w:p w:rsidR="003E3F85" w:rsidRPr="006B4871" w:rsidRDefault="003E3F85" w:rsidP="00BD43B1">
      <w:pPr>
        <w:rPr>
          <w:lang w:val="en-GB"/>
        </w:rPr>
      </w:pPr>
    </w:p>
    <w:p w:rsidR="003E3F85" w:rsidRPr="006B4871" w:rsidRDefault="003E3F85" w:rsidP="003E3F85">
      <w:pPr>
        <w:numPr>
          <w:ilvl w:val="0"/>
          <w:numId w:val="2"/>
        </w:numPr>
        <w:tabs>
          <w:tab w:val="left" w:pos="709"/>
        </w:tabs>
        <w:suppressAutoHyphens/>
        <w:autoSpaceDE w:val="0"/>
        <w:jc w:val="both"/>
        <w:rPr>
          <w:lang w:eastAsia="nl-NL"/>
        </w:rPr>
      </w:pPr>
      <w:bookmarkStart w:id="39" w:name="_Ref368311784"/>
      <w:r w:rsidRPr="006B4871">
        <w:rPr>
          <w:bCs/>
        </w:rPr>
        <w:t xml:space="preserve">The SRSG argues that </w:t>
      </w:r>
      <w:r w:rsidRPr="006B4871">
        <w:rPr>
          <w:lang w:val="en-GB"/>
        </w:rPr>
        <w:t>in</w:t>
      </w:r>
      <w:r w:rsidRPr="006B4871">
        <w:rPr>
          <w:bCs/>
        </w:rPr>
        <w:t xml:space="preserve"> its case-law on Article 2, the European Court of Human Rights has stated </w:t>
      </w:r>
      <w:r w:rsidRPr="006B4871">
        <w:rPr>
          <w:bCs/>
          <w:lang w:val="en-GB"/>
        </w:rPr>
        <w:t>that</w:t>
      </w:r>
      <w:r w:rsidRPr="006B4871">
        <w:rPr>
          <w:bCs/>
        </w:rPr>
        <w:t xml:space="preserve"> due consideration shall be given to the difficulties inherent to post-conflict situations and the problems limiting the ability of investigating authorities</w:t>
      </w:r>
      <w:r w:rsidR="00711C23" w:rsidRPr="006B4871">
        <w:rPr>
          <w:bCs/>
        </w:rPr>
        <w:t xml:space="preserve"> when conducting investigations in</w:t>
      </w:r>
      <w:r w:rsidRPr="006B4871">
        <w:rPr>
          <w:bCs/>
        </w:rPr>
        <w:t xml:space="preserve"> such cases. </w:t>
      </w:r>
      <w:r w:rsidRPr="006B4871">
        <w:t xml:space="preserve">In this regard, the SRSG recalls the judgment of 15 February 2011 rendered by the European Court in the case </w:t>
      </w:r>
      <w:r w:rsidRPr="006B4871">
        <w:rPr>
          <w:i/>
        </w:rPr>
        <w:t>Palić v. Bosnia and Herzegovina</w:t>
      </w:r>
      <w:r w:rsidR="00711C23" w:rsidRPr="006B4871">
        <w:rPr>
          <w:i/>
        </w:rPr>
        <w:t>,</w:t>
      </w:r>
      <w:r w:rsidRPr="006B4871">
        <w:t xml:space="preserve"> stating at paragraph 70:</w:t>
      </w:r>
      <w:bookmarkEnd w:id="39"/>
    </w:p>
    <w:p w:rsidR="003E3F85" w:rsidRPr="006B4871" w:rsidRDefault="003E3F85" w:rsidP="003E3F85">
      <w:pPr>
        <w:pStyle w:val="ListParagraph"/>
        <w:rPr>
          <w:lang w:eastAsia="nl-NL"/>
        </w:rPr>
      </w:pPr>
    </w:p>
    <w:p w:rsidR="003E3F85" w:rsidRPr="006B4871" w:rsidRDefault="003E3F85" w:rsidP="00CA379B">
      <w:pPr>
        <w:ind w:left="862" w:right="567"/>
        <w:jc w:val="both"/>
        <w:rPr>
          <w:lang w:eastAsia="nl-NL"/>
        </w:rPr>
      </w:pPr>
      <w:r w:rsidRPr="006B4871">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6B4871" w:rsidRDefault="003E3F85" w:rsidP="003E3F85">
      <w:pPr>
        <w:pStyle w:val="ListParagraph"/>
        <w:rPr>
          <w:lang w:eastAsia="en-US"/>
        </w:rPr>
      </w:pPr>
    </w:p>
    <w:p w:rsidR="003E3F85" w:rsidRPr="006B4871" w:rsidRDefault="003E3F85" w:rsidP="003E3F85">
      <w:pPr>
        <w:numPr>
          <w:ilvl w:val="0"/>
          <w:numId w:val="2"/>
        </w:numPr>
        <w:tabs>
          <w:tab w:val="left" w:pos="709"/>
        </w:tabs>
        <w:suppressAutoHyphens/>
        <w:autoSpaceDE w:val="0"/>
        <w:jc w:val="both"/>
        <w:rPr>
          <w:lang w:eastAsia="nl-NL"/>
        </w:rPr>
      </w:pPr>
      <w:r w:rsidRPr="006B4871">
        <w:t xml:space="preserve">In the </w:t>
      </w:r>
      <w:r w:rsidRPr="006B4871">
        <w:rPr>
          <w:bCs/>
          <w:lang w:val="en-GB"/>
        </w:rPr>
        <w:t>view</w:t>
      </w:r>
      <w:r w:rsidRPr="006B4871">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6B4871" w:rsidRDefault="003E3F85" w:rsidP="00A62C6D">
      <w:pPr>
        <w:autoSpaceDE w:val="0"/>
        <w:jc w:val="both"/>
      </w:pPr>
    </w:p>
    <w:p w:rsidR="003E3F85" w:rsidRPr="006B4871" w:rsidRDefault="003E3F85" w:rsidP="003E3F85">
      <w:pPr>
        <w:numPr>
          <w:ilvl w:val="0"/>
          <w:numId w:val="2"/>
        </w:numPr>
        <w:tabs>
          <w:tab w:val="left" w:pos="709"/>
        </w:tabs>
        <w:suppressAutoHyphens/>
        <w:autoSpaceDE w:val="0"/>
        <w:jc w:val="both"/>
        <w:rPr>
          <w:lang w:eastAsia="nl-NL"/>
        </w:rPr>
      </w:pPr>
      <w:bookmarkStart w:id="40" w:name="_Ref373942084"/>
      <w:r w:rsidRPr="006B4871">
        <w:t xml:space="preserve">The </w:t>
      </w:r>
      <w:r w:rsidRPr="006B4871">
        <w:rPr>
          <w:bCs/>
          <w:lang w:val="en-GB"/>
        </w:rPr>
        <w:t>SRSG</w:t>
      </w:r>
      <w:r w:rsidRPr="006B4871">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0"/>
    </w:p>
    <w:p w:rsidR="003E3F85" w:rsidRPr="006B4871" w:rsidRDefault="003E3F85" w:rsidP="003E3F85">
      <w:pPr>
        <w:pStyle w:val="ListParagraph"/>
        <w:rPr>
          <w:lang w:eastAsia="nl-NL"/>
        </w:rPr>
      </w:pPr>
    </w:p>
    <w:p w:rsidR="003E3F85" w:rsidRPr="006B4871" w:rsidRDefault="003E3F85" w:rsidP="00CA379B">
      <w:pPr>
        <w:ind w:left="862" w:right="567"/>
        <w:jc w:val="both"/>
        <w:rPr>
          <w:lang w:eastAsia="nl-NL"/>
        </w:rPr>
      </w:pPr>
      <w:r w:rsidRPr="006B4871">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6B4871" w:rsidRDefault="003E3F85" w:rsidP="003E3F85">
      <w:pPr>
        <w:pStyle w:val="ListParagraph"/>
        <w:jc w:val="both"/>
        <w:rPr>
          <w:lang w:eastAsia="nl-NL"/>
        </w:rPr>
      </w:pPr>
    </w:p>
    <w:p w:rsidR="003E3F85" w:rsidRPr="006B4871" w:rsidRDefault="003E3F85" w:rsidP="00CA379B">
      <w:pPr>
        <w:ind w:left="862" w:right="567"/>
        <w:jc w:val="both"/>
        <w:rPr>
          <w:lang w:eastAsia="nl-NL"/>
        </w:rPr>
      </w:pPr>
      <w:r w:rsidRPr="006B4871">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6B4871" w:rsidRDefault="003E3F85" w:rsidP="003E3F85">
      <w:pPr>
        <w:pStyle w:val="ListParagraph"/>
        <w:rPr>
          <w:lang w:eastAsia="en-US"/>
        </w:rPr>
      </w:pPr>
    </w:p>
    <w:p w:rsidR="003E3F85" w:rsidRPr="006B4871" w:rsidRDefault="003E3F85" w:rsidP="003E3F85">
      <w:pPr>
        <w:numPr>
          <w:ilvl w:val="0"/>
          <w:numId w:val="2"/>
        </w:numPr>
        <w:tabs>
          <w:tab w:val="left" w:pos="709"/>
        </w:tabs>
        <w:suppressAutoHyphens/>
        <w:autoSpaceDE w:val="0"/>
        <w:jc w:val="both"/>
        <w:rPr>
          <w:lang w:eastAsia="nl-NL"/>
        </w:rPr>
      </w:pPr>
      <w:r w:rsidRPr="006B4871">
        <w:t xml:space="preserve">The SRSG states that UNMIK international police officers had to adjust to conducting </w:t>
      </w:r>
      <w:r w:rsidRPr="006B4871">
        <w:rPr>
          <w:bCs/>
          <w:lang w:val="en-GB"/>
        </w:rPr>
        <w:t>investigations</w:t>
      </w:r>
      <w:r w:rsidRPr="006B4871">
        <w:t xml:space="preserve"> in</w:t>
      </w:r>
      <w:r w:rsidR="00D142E8" w:rsidRPr="006B4871">
        <w:t xml:space="preserve"> a foreign territory and cultures</w:t>
      </w:r>
      <w:r w:rsidRPr="006B4871">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6B4871">
        <w:t>[</w:t>
      </w:r>
      <w:r w:rsidRPr="006B4871">
        <w:t>s</w:t>
      </w:r>
      <w:r w:rsidR="002948A6" w:rsidRPr="006B4871">
        <w:t>]</w:t>
      </w:r>
      <w:proofErr w:type="spellStart"/>
      <w:r w:rsidRPr="006B4871">
        <w:t>uch</w:t>
      </w:r>
      <w:proofErr w:type="spellEnd"/>
      <w:r w:rsidRPr="006B4871">
        <w:t xml:space="preserve"> constraints inhibited the ability of</w:t>
      </w:r>
      <w:r w:rsidR="002948A6" w:rsidRPr="006B4871">
        <w:t xml:space="preserve"> an institution such as</w:t>
      </w:r>
      <w:r w:rsidRPr="006B4871">
        <w:t xml:space="preserve"> UNMIK Police</w:t>
      </w:r>
      <w:r w:rsidR="00A437DF" w:rsidRPr="006B4871">
        <w:t xml:space="preserve"> to conduct</w:t>
      </w:r>
      <w:r w:rsidR="002948A6" w:rsidRPr="006B4871">
        <w:t xml:space="preserve"> all</w:t>
      </w:r>
      <w:r w:rsidRPr="006B4871">
        <w:t xml:space="preserve"> investigation</w:t>
      </w:r>
      <w:r w:rsidR="002948A6" w:rsidRPr="006B4871">
        <w:t>s in a manner […] that</w:t>
      </w:r>
      <w:r w:rsidRPr="006B4871">
        <w:t xml:space="preserve"> may be demonstrated, or</w:t>
      </w:r>
      <w:r w:rsidR="002948A6" w:rsidRPr="006B4871">
        <w:t xml:space="preserve"> at least</w:t>
      </w:r>
      <w:r w:rsidRPr="006B4871">
        <w:t xml:space="preserve"> expected,</w:t>
      </w:r>
      <w:r w:rsidR="00A62C6D" w:rsidRPr="006B4871">
        <w:t xml:space="preserve"> in</w:t>
      </w:r>
      <w:r w:rsidR="002948A6" w:rsidRPr="006B4871">
        <w:t xml:space="preserve"> other</w:t>
      </w:r>
      <w:r w:rsidRPr="006B4871">
        <w:t xml:space="preserve"> States with</w:t>
      </w:r>
      <w:r w:rsidR="002948A6" w:rsidRPr="006B4871">
        <w:t xml:space="preserve"> more</w:t>
      </w:r>
      <w:r w:rsidRPr="006B4871">
        <w:t xml:space="preserve"> established</w:t>
      </w:r>
      <w:r w:rsidR="00A437DF" w:rsidRPr="006B4871">
        <w:t xml:space="preserve"> </w:t>
      </w:r>
      <w:r w:rsidRPr="006B4871">
        <w:t>institutions</w:t>
      </w:r>
      <w:r w:rsidR="00A437DF" w:rsidRPr="006B4871">
        <w:t xml:space="preserve"> and without the surge in cases of this nature</w:t>
      </w:r>
      <w:r w:rsidRPr="006B4871">
        <w:t xml:space="preserve"> </w:t>
      </w:r>
      <w:r w:rsidR="00A437DF" w:rsidRPr="006B4871">
        <w:t>associated with a post-conflict situation</w:t>
      </w:r>
      <w:r w:rsidRPr="006B4871">
        <w:t>.”</w:t>
      </w:r>
      <w:bookmarkStart w:id="41" w:name="_Ref387249369"/>
      <w:bookmarkStart w:id="42" w:name="_Ref373946471"/>
      <w:bookmarkStart w:id="43" w:name="_Ref366698716"/>
    </w:p>
    <w:p w:rsidR="003E3F85" w:rsidRPr="006B4871" w:rsidRDefault="003E3F85" w:rsidP="003E3F85">
      <w:pPr>
        <w:tabs>
          <w:tab w:val="left" w:pos="709"/>
        </w:tabs>
        <w:suppressAutoHyphens/>
        <w:autoSpaceDE w:val="0"/>
        <w:ind w:left="360"/>
        <w:jc w:val="both"/>
        <w:rPr>
          <w:lang w:eastAsia="nl-NL"/>
        </w:rPr>
      </w:pPr>
    </w:p>
    <w:p w:rsidR="00801C04" w:rsidRPr="006B4871" w:rsidRDefault="003E3F85" w:rsidP="004F45E5">
      <w:pPr>
        <w:numPr>
          <w:ilvl w:val="0"/>
          <w:numId w:val="2"/>
        </w:numPr>
        <w:tabs>
          <w:tab w:val="left" w:pos="709"/>
        </w:tabs>
        <w:suppressAutoHyphens/>
        <w:autoSpaceDE w:val="0"/>
        <w:jc w:val="both"/>
      </w:pPr>
      <w:bookmarkStart w:id="44" w:name="_Ref406232702"/>
      <w:bookmarkStart w:id="45" w:name="_Ref400716090"/>
      <w:bookmarkStart w:id="46" w:name="_Ref397946236"/>
      <w:bookmarkStart w:id="47" w:name="_Ref390942754"/>
      <w:bookmarkStart w:id="48" w:name="_Ref401246390"/>
      <w:r w:rsidRPr="006B4871">
        <w:rPr>
          <w:bCs/>
          <w:lang w:val="en-GB"/>
        </w:rPr>
        <w:t>With</w:t>
      </w:r>
      <w:r w:rsidRPr="006B4871">
        <w:t xml:space="preserve"> </w:t>
      </w:r>
      <w:r w:rsidR="00A62C6D" w:rsidRPr="006B4871">
        <w:t>regard to this particular case</w:t>
      </w:r>
      <w:r w:rsidRPr="006B4871">
        <w:t>,</w:t>
      </w:r>
      <w:r w:rsidR="001C41DB" w:rsidRPr="006B4871">
        <w:t xml:space="preserve"> in relation to the first leg of the obligation related to the procedural element of Article 2 of the ECHR, the SRSG asserts that</w:t>
      </w:r>
      <w:r w:rsidRPr="006B4871">
        <w:t xml:space="preserve"> </w:t>
      </w:r>
      <w:r w:rsidR="001C41DB" w:rsidRPr="006B4871">
        <w:t>the documents show that an MPU officer</w:t>
      </w:r>
      <w:r w:rsidR="0012023C" w:rsidRPr="006B4871">
        <w:t xml:space="preserve"> was in contact with the complainant around </w:t>
      </w:r>
      <w:r w:rsidR="00AD59CE" w:rsidRPr="006B4871">
        <w:t>the middle of 2000</w:t>
      </w:r>
      <w:r w:rsidR="0012023C" w:rsidRPr="006B4871">
        <w:t>.</w:t>
      </w:r>
      <w:r w:rsidR="001E0021" w:rsidRPr="006B4871">
        <w:t xml:space="preserve">The SRSG notes that the MPU officer was told by the complainant that on 17 June 1999 “[a]t around 21:30 [the complainant] heard some gun shots from the direction of her younger brother’s house; however, she could not </w:t>
      </w:r>
      <w:r w:rsidR="00923D0C" w:rsidRPr="006B4871">
        <w:t>check on her relatives and since then had not heard from them.”</w:t>
      </w:r>
      <w:r w:rsidR="0012023C" w:rsidRPr="006B4871">
        <w:t xml:space="preserve"> He also states that “OMPF and MPU attempted to contact relatives of the complainant and alleged witness in order to get more information about the disappearance of the three family members of the complainant and any possible indications that could lead to their whereabouts.</w:t>
      </w:r>
      <w:r w:rsidR="000C2822" w:rsidRPr="006B4871">
        <w:t xml:space="preserve"> </w:t>
      </w:r>
      <w:r w:rsidR="001E0021" w:rsidRPr="006B4871">
        <w:t>Unfortunately, despite the thoro</w:t>
      </w:r>
      <w:r w:rsidR="00801C04" w:rsidRPr="006B4871">
        <w:t>ugh attempt by the UNMIK Police reflected in the OMPF file, there was no information that could shed some light on the whereabouts of the three family members of the complainant.</w:t>
      </w:r>
      <w:r w:rsidR="001E0021" w:rsidRPr="006B4871">
        <w:t>”</w:t>
      </w:r>
      <w:bookmarkEnd w:id="44"/>
    </w:p>
    <w:p w:rsidR="00801C04" w:rsidRPr="006B4871" w:rsidRDefault="00801C04" w:rsidP="00801C04">
      <w:pPr>
        <w:pStyle w:val="ListParagraph"/>
      </w:pPr>
    </w:p>
    <w:p w:rsidR="002217BA" w:rsidRPr="006B4871" w:rsidRDefault="00801C04" w:rsidP="004F45E5">
      <w:pPr>
        <w:numPr>
          <w:ilvl w:val="0"/>
          <w:numId w:val="2"/>
        </w:numPr>
        <w:tabs>
          <w:tab w:val="left" w:pos="709"/>
        </w:tabs>
        <w:suppressAutoHyphens/>
        <w:autoSpaceDE w:val="0"/>
        <w:jc w:val="both"/>
      </w:pPr>
      <w:r w:rsidRPr="006B4871">
        <w:t>The SRSG asserts that “[a]ccording to the Case Contribution</w:t>
      </w:r>
      <w:r w:rsidR="000C2822" w:rsidRPr="006B4871">
        <w:t xml:space="preserve"> Report, MPU was informed about</w:t>
      </w:r>
      <w:r w:rsidRPr="006B4871">
        <w:t xml:space="preserve"> disappearance of the three family members of the complainant on 5 June 2000 and a case was opened under case number 2000-000458.</w:t>
      </w:r>
      <w:r w:rsidR="00672F16" w:rsidRPr="006B4871">
        <w:t xml:space="preserve"> Based on the report</w:t>
      </w:r>
      <w:r w:rsidR="00BB323D" w:rsidRPr="006B4871">
        <w:t>, on 3 January 2001</w:t>
      </w:r>
      <w:r w:rsidR="002217BA" w:rsidRPr="006B4871">
        <w:t>, MPU received some information from Serbia that the bodies of the three family members of the complainant were possibly located in Istog/Istok…Furthermore, MPU received a statement of Mr. [S.P.] the co</w:t>
      </w:r>
      <w:r w:rsidR="00BB323D" w:rsidRPr="006B4871">
        <w:t xml:space="preserve">mplainant’s brother. [Mr. </w:t>
      </w:r>
      <w:r w:rsidR="002217BA" w:rsidRPr="006B4871">
        <w:t>S.P.</w:t>
      </w:r>
      <w:r w:rsidR="00BB323D" w:rsidRPr="006B4871">
        <w:t>]</w:t>
      </w:r>
      <w:r w:rsidR="002217BA" w:rsidRPr="006B4871">
        <w:t xml:space="preserve"> </w:t>
      </w:r>
      <w:proofErr w:type="gramStart"/>
      <w:r w:rsidR="002217BA" w:rsidRPr="006B4871">
        <w:t>alleged</w:t>
      </w:r>
      <w:proofErr w:type="gramEnd"/>
      <w:r w:rsidR="002217BA" w:rsidRPr="006B4871">
        <w:t xml:space="preserve"> in his statement that he was informed that his wife</w:t>
      </w:r>
      <w:r w:rsidR="00923D0C" w:rsidRPr="006B4871">
        <w:t>,</w:t>
      </w:r>
      <w:r w:rsidR="002217BA" w:rsidRPr="006B4871">
        <w:t xml:space="preserve"> Mrs. Radmila </w:t>
      </w:r>
      <w:r w:rsidR="002217BA" w:rsidRPr="006B4871">
        <w:rPr>
          <w:lang w:val="en-GB"/>
        </w:rPr>
        <w:t>Petrušić, had been killed</w:t>
      </w:r>
      <w:r w:rsidR="00BB323D" w:rsidRPr="006B4871">
        <w:rPr>
          <w:lang w:val="en-GB"/>
        </w:rPr>
        <w:t xml:space="preserve"> </w:t>
      </w:r>
      <w:r w:rsidR="002217BA" w:rsidRPr="006B4871">
        <w:rPr>
          <w:lang w:val="en-GB"/>
        </w:rPr>
        <w:t xml:space="preserve">and her body was found. He also claimed that Mr. Slobodan Vujačić and Mr. Luka Petrušić were also killed and buried nearby the location where the body of his wife was found. [Mr S.P.] </w:t>
      </w:r>
      <w:proofErr w:type="gramStart"/>
      <w:r w:rsidR="002217BA" w:rsidRPr="006B4871">
        <w:rPr>
          <w:lang w:val="en-GB"/>
        </w:rPr>
        <w:t>also</w:t>
      </w:r>
      <w:proofErr w:type="gramEnd"/>
      <w:r w:rsidR="002217BA" w:rsidRPr="006B4871">
        <w:rPr>
          <w:lang w:val="en-GB"/>
        </w:rPr>
        <w:t xml:space="preserve"> explained more details about the whereabouts of the graves.”</w:t>
      </w:r>
    </w:p>
    <w:p w:rsidR="002217BA" w:rsidRPr="006B4871" w:rsidRDefault="002217BA" w:rsidP="002217BA">
      <w:pPr>
        <w:pStyle w:val="ListParagraph"/>
        <w:rPr>
          <w:lang w:val="en-GB"/>
        </w:rPr>
      </w:pPr>
    </w:p>
    <w:p w:rsidR="00AF54CC" w:rsidRPr="006B4871" w:rsidRDefault="002217BA" w:rsidP="004F45E5">
      <w:pPr>
        <w:numPr>
          <w:ilvl w:val="0"/>
          <w:numId w:val="2"/>
        </w:numPr>
        <w:tabs>
          <w:tab w:val="left" w:pos="709"/>
        </w:tabs>
        <w:suppressAutoHyphens/>
        <w:autoSpaceDE w:val="0"/>
        <w:jc w:val="both"/>
      </w:pPr>
      <w:bookmarkStart w:id="49" w:name="_Ref405284592"/>
      <w:r w:rsidRPr="006B4871">
        <w:rPr>
          <w:lang w:val="en-GB"/>
        </w:rPr>
        <w:t xml:space="preserve">The SRSG also notes that the documents state that “the [MPU] investigator visited the location where it was suspected the three family members of the complainant were buried. He also took pictures of the suspected graves. Furthermore, he was informed that some human remains were recovered from the same graves in March 2002 and were moved to the </w:t>
      </w:r>
      <w:r w:rsidRPr="006B4871">
        <w:rPr>
          <w:lang w:val="en-GB"/>
        </w:rPr>
        <w:lastRenderedPageBreak/>
        <w:t>Police Station in Istog/Istok.” He also argues that “it is understood th</w:t>
      </w:r>
      <w:r w:rsidR="008212B8" w:rsidRPr="006B4871">
        <w:rPr>
          <w:lang w:val="en-GB"/>
        </w:rPr>
        <w:t>at several independent complain</w:t>
      </w:r>
      <w:r w:rsidRPr="006B4871">
        <w:rPr>
          <w:lang w:val="en-GB"/>
        </w:rPr>
        <w:t>ts were filed regarding the same persons. One of them was filed by the complainant’s brother [Mr S.P.] u</w:t>
      </w:r>
      <w:r w:rsidR="00AF54CC" w:rsidRPr="006B4871">
        <w:rPr>
          <w:lang w:val="en-GB"/>
        </w:rPr>
        <w:t>nder 2002-087…From the documents there could be another case under No.</w:t>
      </w:r>
      <w:r w:rsidR="00AD59CE" w:rsidRPr="006B4871">
        <w:rPr>
          <w:lang w:val="en-GB"/>
        </w:rPr>
        <w:t xml:space="preserve"> </w:t>
      </w:r>
      <w:r w:rsidR="00AF54CC" w:rsidRPr="006B4871">
        <w:rPr>
          <w:lang w:val="en-GB"/>
        </w:rPr>
        <w:t>2002-00500 related to the same gra</w:t>
      </w:r>
      <w:r w:rsidR="008212B8" w:rsidRPr="006B4871">
        <w:rPr>
          <w:lang w:val="en-GB"/>
        </w:rPr>
        <w:t xml:space="preserve">ves, which were visited by the </w:t>
      </w:r>
      <w:r w:rsidR="00AF54CC" w:rsidRPr="006B4871">
        <w:rPr>
          <w:lang w:val="en-GB"/>
        </w:rPr>
        <w:t>investigator on 5 July 2002. Since this office received just one letter as the record from the MPU in respect of case No. 226/09, we consider it likely that further investigation was carried out, but not reflected in the documents obtained to date.</w:t>
      </w:r>
      <w:r w:rsidRPr="006B4871">
        <w:rPr>
          <w:lang w:val="en-GB"/>
        </w:rPr>
        <w:t xml:space="preserve"> </w:t>
      </w:r>
      <w:r w:rsidR="00AF54CC" w:rsidRPr="006B4871">
        <w:rPr>
          <w:lang w:val="en-GB"/>
        </w:rPr>
        <w:t>“</w:t>
      </w:r>
      <w:bookmarkEnd w:id="49"/>
      <w:r w:rsidRPr="006B4871">
        <w:t xml:space="preserve"> </w:t>
      </w:r>
      <w:r w:rsidR="001C41DB" w:rsidRPr="006B4871">
        <w:t xml:space="preserve"> </w:t>
      </w:r>
    </w:p>
    <w:p w:rsidR="00AF54CC" w:rsidRPr="006B4871" w:rsidRDefault="00AF54CC" w:rsidP="00AF54CC">
      <w:pPr>
        <w:pStyle w:val="ListParagraph"/>
      </w:pPr>
    </w:p>
    <w:p w:rsidR="00622236" w:rsidRPr="006B4871" w:rsidRDefault="00AF54CC" w:rsidP="00622236">
      <w:pPr>
        <w:numPr>
          <w:ilvl w:val="0"/>
          <w:numId w:val="2"/>
        </w:numPr>
        <w:tabs>
          <w:tab w:val="left" w:pos="709"/>
        </w:tabs>
        <w:suppressAutoHyphens/>
        <w:autoSpaceDE w:val="0"/>
        <w:jc w:val="both"/>
        <w:rPr>
          <w:bCs/>
          <w:lang w:val="en-GB"/>
        </w:rPr>
      </w:pPr>
      <w:bookmarkStart w:id="50" w:name="_Ref405302706"/>
      <w:r w:rsidRPr="006B4871">
        <w:t xml:space="preserve">The SRSG concludes that </w:t>
      </w:r>
      <w:r w:rsidRPr="006B4871">
        <w:rPr>
          <w:lang w:eastAsia="nl-NL"/>
        </w:rPr>
        <w:t>with regard to the complaint</w:t>
      </w:r>
      <w:r w:rsidRPr="006B4871">
        <w:t xml:space="preserve"> </w:t>
      </w:r>
      <w:r w:rsidR="00622236" w:rsidRPr="006B4871">
        <w:t>“</w:t>
      </w:r>
      <w:r w:rsidR="00A62C6D" w:rsidRPr="006B4871">
        <w:t xml:space="preserve">it is evident that </w:t>
      </w:r>
      <w:r w:rsidR="004F45E5" w:rsidRPr="006B4871">
        <w:t>UNMIK</w:t>
      </w:r>
      <w:r w:rsidR="00A62C6D" w:rsidRPr="006B4871">
        <w:t xml:space="preserve"> Police did open and pursue an investigation into the</w:t>
      </w:r>
      <w:r w:rsidRPr="006B4871">
        <w:t xml:space="preserve"> whereabouts of the three family members of the complainant; however, further information could be recorded in other files…Without reviewing those files, it is impossible to analyse how UNMIK Police conducted its investigation in detail; however, it can be ascertained that leads were followed but this did not culminate in the location and identification of the mortal rema</w:t>
      </w:r>
      <w:r w:rsidR="00923D0C" w:rsidRPr="006B4871">
        <w:t>ins or the identification of</w:t>
      </w:r>
      <w:r w:rsidRPr="006B4871">
        <w:t xml:space="preserve"> perpetrators.”</w:t>
      </w:r>
      <w:bookmarkEnd w:id="50"/>
      <w:r w:rsidR="00A62C6D" w:rsidRPr="006B4871">
        <w:t xml:space="preserve"> </w:t>
      </w:r>
      <w:bookmarkEnd w:id="41"/>
      <w:bookmarkEnd w:id="42"/>
      <w:bookmarkEnd w:id="45"/>
      <w:bookmarkEnd w:id="46"/>
      <w:bookmarkEnd w:id="47"/>
      <w:bookmarkEnd w:id="48"/>
    </w:p>
    <w:p w:rsidR="00AF54CC" w:rsidRPr="006B4871" w:rsidRDefault="00AF54CC" w:rsidP="00E24650">
      <w:pPr>
        <w:tabs>
          <w:tab w:val="left" w:pos="709"/>
        </w:tabs>
        <w:suppressAutoHyphens/>
        <w:autoSpaceDE w:val="0"/>
        <w:jc w:val="both"/>
        <w:rPr>
          <w:bCs/>
          <w:lang w:val="en-GB"/>
        </w:rPr>
      </w:pPr>
    </w:p>
    <w:p w:rsidR="003E3F85" w:rsidRPr="006B4871" w:rsidRDefault="003E3F85" w:rsidP="003E3F85">
      <w:pPr>
        <w:numPr>
          <w:ilvl w:val="0"/>
          <w:numId w:val="2"/>
        </w:numPr>
        <w:tabs>
          <w:tab w:val="left" w:pos="709"/>
        </w:tabs>
        <w:suppressAutoHyphens/>
        <w:autoSpaceDE w:val="0"/>
        <w:jc w:val="both"/>
        <w:rPr>
          <w:lang w:val="en-GB"/>
        </w:rPr>
      </w:pPr>
      <w:bookmarkStart w:id="51" w:name="_Ref367285537"/>
      <w:bookmarkStart w:id="52" w:name="_Ref368319301"/>
      <w:bookmarkEnd w:id="43"/>
      <w:r w:rsidRPr="006B4871">
        <w:rPr>
          <w:lang w:eastAsia="nl-NL"/>
        </w:rPr>
        <w:t xml:space="preserve">The SRSG </w:t>
      </w:r>
      <w:r w:rsidR="00AF54CC" w:rsidRPr="006B4871">
        <w:rPr>
          <w:lang w:eastAsia="nl-NL"/>
        </w:rPr>
        <w:t xml:space="preserve">states </w:t>
      </w:r>
      <w:r w:rsidR="00622236" w:rsidRPr="006B4871">
        <w:rPr>
          <w:lang w:eastAsia="nl-NL"/>
        </w:rPr>
        <w:t>that</w:t>
      </w:r>
      <w:r w:rsidR="00A62C6D" w:rsidRPr="006B4871">
        <w:rPr>
          <w:lang w:eastAsia="nl-NL"/>
        </w:rPr>
        <w:t xml:space="preserve"> there has not been a violation of Article 2, ECHR in respect of the allegations contained in the complaint. </w:t>
      </w:r>
      <w:bookmarkEnd w:id="51"/>
      <w:bookmarkEnd w:id="52"/>
    </w:p>
    <w:p w:rsidR="00AF54CC" w:rsidRPr="006B4871" w:rsidRDefault="00AF54CC" w:rsidP="00AF54CC">
      <w:pPr>
        <w:tabs>
          <w:tab w:val="left" w:pos="709"/>
        </w:tabs>
        <w:suppressAutoHyphens/>
        <w:autoSpaceDE w:val="0"/>
        <w:jc w:val="both"/>
        <w:rPr>
          <w:lang w:val="en-GB"/>
        </w:rPr>
      </w:pPr>
    </w:p>
    <w:p w:rsidR="003E3F85" w:rsidRPr="006B4871" w:rsidRDefault="003E3F85" w:rsidP="003E3F85">
      <w:pPr>
        <w:pStyle w:val="ListParagraph"/>
        <w:numPr>
          <w:ilvl w:val="1"/>
          <w:numId w:val="1"/>
        </w:numPr>
        <w:tabs>
          <w:tab w:val="clear" w:pos="360"/>
          <w:tab w:val="left" w:pos="357"/>
        </w:tabs>
        <w:autoSpaceDE w:val="0"/>
        <w:contextualSpacing/>
        <w:jc w:val="both"/>
        <w:rPr>
          <w:b/>
          <w:lang w:val="en-GB"/>
        </w:rPr>
      </w:pPr>
      <w:r w:rsidRPr="006B4871">
        <w:rPr>
          <w:b/>
          <w:lang w:val="en-GB"/>
        </w:rPr>
        <w:t xml:space="preserve">The </w:t>
      </w:r>
      <w:r w:rsidRPr="006B4871">
        <w:rPr>
          <w:b/>
          <w:bCs/>
          <w:lang w:val="en-GB"/>
        </w:rPr>
        <w:t>Panel’s</w:t>
      </w:r>
      <w:r w:rsidRPr="006B4871">
        <w:rPr>
          <w:b/>
          <w:lang w:val="en-GB"/>
        </w:rPr>
        <w:t xml:space="preserve"> assessment</w:t>
      </w:r>
    </w:p>
    <w:p w:rsidR="003E3F85" w:rsidRPr="006B4871" w:rsidRDefault="003E3F85" w:rsidP="003E3F85">
      <w:pPr>
        <w:jc w:val="both"/>
        <w:rPr>
          <w:lang w:val="en-GB"/>
        </w:rPr>
      </w:pPr>
    </w:p>
    <w:p w:rsidR="003E3F85" w:rsidRPr="006B4871" w:rsidRDefault="003E3F85" w:rsidP="003E3F85">
      <w:pPr>
        <w:numPr>
          <w:ilvl w:val="0"/>
          <w:numId w:val="2"/>
        </w:numPr>
        <w:tabs>
          <w:tab w:val="left" w:pos="709"/>
        </w:tabs>
        <w:suppressAutoHyphens/>
        <w:autoSpaceDE w:val="0"/>
        <w:jc w:val="both"/>
        <w:rPr>
          <w:lang w:val="en-GB"/>
        </w:rPr>
      </w:pPr>
      <w:r w:rsidRPr="006B4871">
        <w:rPr>
          <w:lang w:val="en-GB"/>
        </w:rPr>
        <w:t>The</w:t>
      </w:r>
      <w:r w:rsidRPr="006B4871">
        <w:rPr>
          <w:bCs/>
          <w:lang w:val="en-GB"/>
        </w:rPr>
        <w:t xml:space="preserve"> Panel considers that the complainant invokes a violation of the procedural obligation </w:t>
      </w:r>
      <w:r w:rsidRPr="006B4871">
        <w:rPr>
          <w:lang w:val="en-GB"/>
        </w:rPr>
        <w:t>stemming</w:t>
      </w:r>
      <w:r w:rsidRPr="006B4871">
        <w:rPr>
          <w:bCs/>
          <w:lang w:val="en-GB"/>
        </w:rPr>
        <w:t xml:space="preserve"> from the right to life, guaranteed by Article 2 of the European Convention on Human Rights (ECHR) in that UNMIK did not conduct an effectiv</w:t>
      </w:r>
      <w:r w:rsidR="00622236" w:rsidRPr="006B4871">
        <w:rPr>
          <w:bCs/>
          <w:lang w:val="en-GB"/>
        </w:rPr>
        <w:t xml:space="preserve">e investigation into the </w:t>
      </w:r>
      <w:r w:rsidR="00954A3E" w:rsidRPr="006B4871">
        <w:rPr>
          <w:bCs/>
          <w:lang w:val="en-GB"/>
        </w:rPr>
        <w:t>abduction</w:t>
      </w:r>
      <w:r w:rsidR="00622236" w:rsidRPr="006B4871">
        <w:rPr>
          <w:bCs/>
          <w:lang w:val="en-GB"/>
        </w:rPr>
        <w:t xml:space="preserve"> and </w:t>
      </w:r>
      <w:r w:rsidR="00414BC8" w:rsidRPr="006B4871">
        <w:rPr>
          <w:lang w:val="en-GB"/>
        </w:rPr>
        <w:t>probable killing of Mr Slobodan Vujačić, Mr Luka Petrušić and Mrs Radmila Petrušić</w:t>
      </w:r>
      <w:r w:rsidRPr="006B4871">
        <w:rPr>
          <w:lang w:val="en-GB"/>
        </w:rPr>
        <w:t>.</w:t>
      </w:r>
    </w:p>
    <w:p w:rsidR="003E3F85" w:rsidRPr="006B4871" w:rsidRDefault="003E3F85" w:rsidP="003E3F85">
      <w:pPr>
        <w:pStyle w:val="ListParagraph"/>
        <w:autoSpaceDE w:val="0"/>
        <w:ind w:left="360"/>
        <w:jc w:val="both"/>
        <w:rPr>
          <w:lang w:val="en-GB"/>
        </w:rPr>
      </w:pPr>
    </w:p>
    <w:p w:rsidR="003E3F85" w:rsidRPr="006B4871" w:rsidRDefault="003E3F85" w:rsidP="003E3F85">
      <w:pPr>
        <w:pStyle w:val="ListParagraph"/>
        <w:numPr>
          <w:ilvl w:val="0"/>
          <w:numId w:val="7"/>
        </w:numPr>
        <w:contextualSpacing/>
        <w:jc w:val="both"/>
        <w:rPr>
          <w:i/>
          <w:lang w:val="en-GB"/>
        </w:rPr>
      </w:pPr>
      <w:r w:rsidRPr="006B4871">
        <w:rPr>
          <w:i/>
          <w:lang w:val="en-GB"/>
        </w:rPr>
        <w:t>Submission of relevant files</w:t>
      </w:r>
    </w:p>
    <w:p w:rsidR="003E3F85" w:rsidRPr="006B4871" w:rsidRDefault="003E3F85" w:rsidP="003E3F85">
      <w:pPr>
        <w:pStyle w:val="ListParagraph"/>
        <w:autoSpaceDE w:val="0"/>
        <w:ind w:left="450"/>
        <w:jc w:val="both"/>
      </w:pPr>
      <w:bookmarkStart w:id="53" w:name="_Ref354590617"/>
    </w:p>
    <w:p w:rsidR="003E3F85" w:rsidRPr="006B4871" w:rsidRDefault="003E3F85" w:rsidP="003E3F85">
      <w:pPr>
        <w:numPr>
          <w:ilvl w:val="0"/>
          <w:numId w:val="2"/>
        </w:numPr>
        <w:tabs>
          <w:tab w:val="left" w:pos="709"/>
        </w:tabs>
        <w:suppressAutoHyphens/>
        <w:autoSpaceDE w:val="0"/>
        <w:jc w:val="both"/>
      </w:pPr>
      <w:r w:rsidRPr="006B4871">
        <w:rPr>
          <w:lang w:val="en-GB"/>
        </w:rPr>
        <w:t xml:space="preserve">At the Panel’s request, on </w:t>
      </w:r>
      <w:r w:rsidR="00163BF4" w:rsidRPr="006B4871">
        <w:rPr>
          <w:lang w:val="en-GB"/>
        </w:rPr>
        <w:t>28 February 2013</w:t>
      </w:r>
      <w:r w:rsidRPr="006B4871">
        <w:rPr>
          <w:lang w:val="en-GB"/>
        </w:rPr>
        <w:t xml:space="preserve">, the </w:t>
      </w:r>
      <w:r w:rsidRPr="006B4871">
        <w:rPr>
          <w:bCs/>
          <w:lang w:val="en-GB"/>
        </w:rPr>
        <w:t>SRSG</w:t>
      </w:r>
      <w:r w:rsidRPr="006B4871">
        <w:rPr>
          <w:lang w:val="en-GB"/>
        </w:rPr>
        <w:t xml:space="preserve"> provided copies of the documents related to this investigation, which UNMIK was able to recover. O</w:t>
      </w:r>
      <w:r w:rsidRPr="006B4871">
        <w:t xml:space="preserve">n </w:t>
      </w:r>
      <w:r w:rsidR="00923D0C" w:rsidRPr="006B4871">
        <w:t>20</w:t>
      </w:r>
      <w:r w:rsidR="00163BF4" w:rsidRPr="006B4871">
        <w:t xml:space="preserve"> </w:t>
      </w:r>
      <w:r w:rsidR="00923D0C" w:rsidRPr="006B4871">
        <w:t>November 2014</w:t>
      </w:r>
      <w:r w:rsidR="00B77C87" w:rsidRPr="006B4871">
        <w:t xml:space="preserve">, </w:t>
      </w:r>
      <w:r w:rsidRPr="006B4871">
        <w:t xml:space="preserve">UNMIK confirmed to the Panel that no more files have been located, thus the disclosure may be considered complete (see § </w:t>
      </w:r>
      <w:r w:rsidR="00757455">
        <w:fldChar w:fldCharType="begin"/>
      </w:r>
      <w:r w:rsidR="00757455">
        <w:instrText xml:space="preserve"> REF _Ref373944367 \r \h  \* MERGEFORMAT </w:instrText>
      </w:r>
      <w:r w:rsidR="00757455">
        <w:fldChar w:fldCharType="separate"/>
      </w:r>
      <w:r w:rsidR="009E21A4">
        <w:t>6</w:t>
      </w:r>
      <w:r w:rsidR="00757455">
        <w:fldChar w:fldCharType="end"/>
      </w:r>
      <w:r w:rsidRPr="006B4871">
        <w:t xml:space="preserve"> above).</w:t>
      </w:r>
      <w:bookmarkEnd w:id="53"/>
    </w:p>
    <w:p w:rsidR="003E3F85" w:rsidRPr="006B4871" w:rsidRDefault="003E3F85" w:rsidP="003E3F85">
      <w:pPr>
        <w:suppressAutoHyphens/>
        <w:ind w:left="360"/>
        <w:jc w:val="both"/>
        <w:rPr>
          <w:lang w:val="en-GB"/>
        </w:rPr>
      </w:pPr>
    </w:p>
    <w:p w:rsidR="003E3F85" w:rsidRPr="006B4871" w:rsidRDefault="003E3F85" w:rsidP="003E3F85">
      <w:pPr>
        <w:numPr>
          <w:ilvl w:val="0"/>
          <w:numId w:val="2"/>
        </w:numPr>
        <w:tabs>
          <w:tab w:val="left" w:pos="709"/>
        </w:tabs>
        <w:suppressAutoHyphens/>
        <w:autoSpaceDE w:val="0"/>
        <w:jc w:val="both"/>
        <w:rPr>
          <w:lang w:val="en-GB"/>
        </w:rPr>
      </w:pPr>
      <w:r w:rsidRPr="006B4871">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6B4871">
        <w:rPr>
          <w:lang w:val="en-GB"/>
        </w:rPr>
        <w:t>provide</w:t>
      </w:r>
      <w:proofErr w:type="gramEnd"/>
      <w:r w:rsidRPr="006B4871">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6B4871">
        <w:rPr>
          <w:i/>
          <w:lang w:val="en-GB"/>
        </w:rPr>
        <w:t>Çelikbilek</w:t>
      </w:r>
      <w:proofErr w:type="spellEnd"/>
      <w:r w:rsidRPr="006B4871">
        <w:rPr>
          <w:i/>
          <w:lang w:val="en-GB"/>
        </w:rPr>
        <w:t xml:space="preserve"> v. Turkey</w:t>
      </w:r>
      <w:r w:rsidRPr="006B4871">
        <w:rPr>
          <w:lang w:val="en-GB"/>
        </w:rPr>
        <w:t xml:space="preserve">, </w:t>
      </w:r>
      <w:r w:rsidRPr="006B4871">
        <w:rPr>
          <w:lang w:val="en-GB" w:eastAsia="nl-BE"/>
        </w:rPr>
        <w:t>no. 27693/95, judgment of 31 May 2005</w:t>
      </w:r>
      <w:r w:rsidRPr="006B4871">
        <w:rPr>
          <w:i/>
          <w:iCs/>
          <w:lang w:val="en-GB" w:eastAsia="nl-BE"/>
        </w:rPr>
        <w:t>,</w:t>
      </w:r>
      <w:r w:rsidRPr="006B4871">
        <w:rPr>
          <w:iCs/>
          <w:lang w:val="en-GB" w:eastAsia="nl-BE"/>
        </w:rPr>
        <w:t xml:space="preserve"> § 56).</w:t>
      </w:r>
      <w:r w:rsidRPr="006B4871">
        <w:rPr>
          <w:rFonts w:ascii="Helv" w:hAnsi="Helv" w:cs="Helv"/>
          <w:sz w:val="20"/>
          <w:szCs w:val="20"/>
          <w:lang w:val="en-GB" w:eastAsia="nl-BE"/>
        </w:rPr>
        <w:t xml:space="preserve"> </w:t>
      </w:r>
    </w:p>
    <w:p w:rsidR="003E3F85" w:rsidRPr="006B4871" w:rsidRDefault="003E3F85" w:rsidP="003E3F85">
      <w:pPr>
        <w:pStyle w:val="ListParagraph"/>
        <w:rPr>
          <w:lang w:val="en-GB"/>
        </w:rPr>
      </w:pPr>
    </w:p>
    <w:p w:rsidR="003E3F85" w:rsidRPr="006B4871" w:rsidRDefault="003E3F85" w:rsidP="003E3F85">
      <w:pPr>
        <w:numPr>
          <w:ilvl w:val="0"/>
          <w:numId w:val="2"/>
        </w:numPr>
        <w:tabs>
          <w:tab w:val="left" w:pos="709"/>
        </w:tabs>
        <w:suppressAutoHyphens/>
        <w:autoSpaceDE w:val="0"/>
        <w:jc w:val="both"/>
        <w:rPr>
          <w:b/>
          <w:lang w:val="en-GB"/>
        </w:rPr>
      </w:pPr>
      <w:r w:rsidRPr="006B4871">
        <w:rPr>
          <w:lang w:val="en-GB"/>
        </w:rPr>
        <w:t xml:space="preserve">Furthermore, the Panel notes that the proper maintenance of investigative files concerning crimes such as killings and disappearances, from the opening of the investigations to their </w:t>
      </w:r>
      <w:r w:rsidRPr="006B4871">
        <w:rPr>
          <w:lang w:val="en-GB"/>
        </w:rPr>
        <w:lastRenderedPageBreak/>
        <w:t xml:space="preserve">handing over, is crucial to the continuation of such investigations and failure to do so could thus raise </w:t>
      </w:r>
      <w:r w:rsidRPr="006B4871">
        <w:rPr>
          <w:i/>
          <w:lang w:val="en-GB"/>
        </w:rPr>
        <w:t>per se</w:t>
      </w:r>
      <w:r w:rsidRPr="006B4871">
        <w:rPr>
          <w:lang w:val="en-GB"/>
        </w:rPr>
        <w:t xml:space="preserve"> issues under Article 2.</w:t>
      </w:r>
    </w:p>
    <w:p w:rsidR="003E3F85" w:rsidRPr="006B4871" w:rsidRDefault="003E3F85" w:rsidP="003E3F85">
      <w:pPr>
        <w:pStyle w:val="ListParagraph"/>
        <w:rPr>
          <w:b/>
          <w:lang w:val="en-GB"/>
        </w:rPr>
      </w:pPr>
    </w:p>
    <w:p w:rsidR="003E3F85" w:rsidRPr="006B4871" w:rsidRDefault="003E3F85" w:rsidP="003E3F85">
      <w:pPr>
        <w:numPr>
          <w:ilvl w:val="0"/>
          <w:numId w:val="2"/>
        </w:numPr>
        <w:tabs>
          <w:tab w:val="left" w:pos="709"/>
        </w:tabs>
        <w:suppressAutoHyphens/>
        <w:autoSpaceDE w:val="0"/>
        <w:jc w:val="both"/>
        <w:rPr>
          <w:b/>
          <w:lang w:val="en-GB"/>
        </w:rPr>
      </w:pPr>
      <w:bookmarkStart w:id="54" w:name="_Ref373945461"/>
      <w:r w:rsidRPr="006B4871">
        <w:t xml:space="preserve">The </w:t>
      </w:r>
      <w:r w:rsidRPr="006B4871">
        <w:rPr>
          <w:lang w:val="en-GB"/>
        </w:rPr>
        <w:t>Panel has no reason to doubt that UNMIK undertook all efforts in order to obtain the relevant</w:t>
      </w:r>
      <w:r w:rsidRPr="006B4871">
        <w:t xml:space="preserve"> investigative files. However, the Panel notes that UNMIK has not provided any explanation as to why the documentation may be incomplete, nor with respect to which parts.</w:t>
      </w:r>
      <w:bookmarkEnd w:id="54"/>
    </w:p>
    <w:p w:rsidR="003E3F85" w:rsidRPr="006B4871" w:rsidRDefault="003E3F85" w:rsidP="003E3F85">
      <w:pPr>
        <w:pStyle w:val="ListParagraph"/>
        <w:rPr>
          <w:lang w:val="en-GB"/>
        </w:rPr>
      </w:pPr>
    </w:p>
    <w:p w:rsidR="003E3F85" w:rsidRPr="006B4871" w:rsidRDefault="003E3F85" w:rsidP="003E3F85">
      <w:pPr>
        <w:numPr>
          <w:ilvl w:val="0"/>
          <w:numId w:val="2"/>
        </w:numPr>
        <w:tabs>
          <w:tab w:val="left" w:pos="709"/>
        </w:tabs>
        <w:suppressAutoHyphens/>
        <w:autoSpaceDE w:val="0"/>
        <w:jc w:val="both"/>
        <w:rPr>
          <w:lang w:val="en-GB"/>
        </w:rPr>
      </w:pPr>
      <w:r w:rsidRPr="006B4871">
        <w:rPr>
          <w:lang w:val="en-GB"/>
        </w:rPr>
        <w:t>The Panel itself is not in the position to verify the completeness of the investigative files received.</w:t>
      </w:r>
      <w:r w:rsidR="002E1F96" w:rsidRPr="006B4871">
        <w:rPr>
          <w:lang w:val="en-GB"/>
        </w:rPr>
        <w:t xml:space="preserve"> </w:t>
      </w:r>
      <w:r w:rsidRPr="006B4871">
        <w:rPr>
          <w:lang w:val="en-GB"/>
        </w:rPr>
        <w:t xml:space="preserve">The Panel will therefore assess the merits of the complaint on the basis of documents made available (in this sense, see ECtHR, </w:t>
      </w:r>
      <w:proofErr w:type="spellStart"/>
      <w:r w:rsidRPr="006B4871">
        <w:rPr>
          <w:i/>
          <w:lang w:val="en-GB"/>
        </w:rPr>
        <w:t>Tsechoyev</w:t>
      </w:r>
      <w:proofErr w:type="spellEnd"/>
      <w:r w:rsidRPr="006B4871">
        <w:rPr>
          <w:i/>
          <w:lang w:val="en-GB"/>
        </w:rPr>
        <w:t xml:space="preserve"> v. Russia</w:t>
      </w:r>
      <w:r w:rsidRPr="006B4871">
        <w:rPr>
          <w:lang w:val="en-GB"/>
        </w:rPr>
        <w:t>, no. 39358/05, judgment of</w:t>
      </w:r>
      <w:r w:rsidRPr="006B4871">
        <w:rPr>
          <w:i/>
          <w:lang w:val="en-GB"/>
        </w:rPr>
        <w:t xml:space="preserve"> </w:t>
      </w:r>
      <w:r w:rsidRPr="006B4871">
        <w:rPr>
          <w:lang w:val="en-GB"/>
        </w:rPr>
        <w:t xml:space="preserve">15 March 2011, § 146).  </w:t>
      </w:r>
      <w:bookmarkStart w:id="55" w:name="_Ref366241114"/>
    </w:p>
    <w:p w:rsidR="003E3F85" w:rsidRPr="006B4871" w:rsidRDefault="003E3F85" w:rsidP="003E3F85">
      <w:pPr>
        <w:pStyle w:val="ListParagraph"/>
        <w:rPr>
          <w:lang w:val="en-GB"/>
        </w:rPr>
      </w:pPr>
    </w:p>
    <w:p w:rsidR="003E3F85" w:rsidRPr="006B4871" w:rsidRDefault="003E3F85" w:rsidP="003E3F85">
      <w:pPr>
        <w:pStyle w:val="ListParagraph"/>
        <w:numPr>
          <w:ilvl w:val="0"/>
          <w:numId w:val="7"/>
        </w:numPr>
        <w:contextualSpacing/>
        <w:jc w:val="both"/>
        <w:rPr>
          <w:i/>
          <w:lang w:val="en-GB"/>
        </w:rPr>
      </w:pPr>
      <w:r w:rsidRPr="006B4871">
        <w:rPr>
          <w:i/>
          <w:lang w:val="en-GB" w:eastAsia="en-US"/>
        </w:rPr>
        <w:t>General</w:t>
      </w:r>
      <w:r w:rsidRPr="006B4871">
        <w:rPr>
          <w:i/>
          <w:lang w:val="en-GB"/>
        </w:rPr>
        <w:t xml:space="preserve"> principles concerning the obligation to conduct an effective investigation under Article 2</w:t>
      </w:r>
    </w:p>
    <w:p w:rsidR="004F45E5" w:rsidRPr="006B4871" w:rsidRDefault="004F45E5" w:rsidP="004F45E5">
      <w:pPr>
        <w:jc w:val="both"/>
        <w:rPr>
          <w:lang w:val="en-GB"/>
        </w:rPr>
      </w:pPr>
    </w:p>
    <w:p w:rsidR="00163BF4" w:rsidRPr="006B4871" w:rsidRDefault="00163BF4" w:rsidP="00163BF4">
      <w:pPr>
        <w:pStyle w:val="ListParagraph"/>
        <w:numPr>
          <w:ilvl w:val="0"/>
          <w:numId w:val="2"/>
        </w:numPr>
        <w:jc w:val="both"/>
        <w:rPr>
          <w:lang w:val="en-GB"/>
        </w:rPr>
      </w:pPr>
      <w:bookmarkStart w:id="56" w:name="_Ref400788371"/>
      <w:bookmarkStart w:id="57" w:name="_Ref347561805"/>
      <w:bookmarkEnd w:id="55"/>
      <w:r w:rsidRPr="006B4871">
        <w:rPr>
          <w:lang w:val="en-GB"/>
        </w:rPr>
        <w:t>First, the Panel considers that the limited content of the investigative files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End w:id="56"/>
    </w:p>
    <w:p w:rsidR="00163BF4" w:rsidRPr="006B4871" w:rsidRDefault="00163BF4" w:rsidP="00163BF4">
      <w:pPr>
        <w:pStyle w:val="ListParagraph"/>
        <w:ind w:left="360"/>
        <w:jc w:val="both"/>
        <w:rPr>
          <w:lang w:val="en-GB"/>
        </w:rPr>
      </w:pPr>
    </w:p>
    <w:p w:rsidR="00163BF4" w:rsidRPr="006B4871" w:rsidRDefault="00163BF4" w:rsidP="00163BF4">
      <w:pPr>
        <w:pStyle w:val="ListParagraph"/>
        <w:numPr>
          <w:ilvl w:val="0"/>
          <w:numId w:val="2"/>
        </w:numPr>
        <w:jc w:val="both"/>
        <w:rPr>
          <w:lang w:val="en-GB"/>
        </w:rPr>
      </w:pPr>
      <w:r w:rsidRPr="006B4871">
        <w:rPr>
          <w:lang w:val="en-GB"/>
        </w:rPr>
        <w:t xml:space="preserve">Following this general rule, at the admissibility stage an applicant must present facts, which are supportive of the allegations of the State’s responsibility, that is, to establish a </w:t>
      </w:r>
      <w:r w:rsidRPr="006B4871">
        <w:rPr>
          <w:i/>
          <w:lang w:val="en-GB"/>
        </w:rPr>
        <w:t xml:space="preserve">prima facie </w:t>
      </w:r>
      <w:r w:rsidRPr="006B4871">
        <w:rPr>
          <w:lang w:val="en-GB"/>
        </w:rPr>
        <w:t xml:space="preserve">case against the authorities (see, mutatis mutandis, </w:t>
      </w:r>
      <w:r w:rsidRPr="006B4871">
        <w:rPr>
          <w:i/>
          <w:lang w:val="en-GB"/>
        </w:rPr>
        <w:t>ECtHR, Artico v. Italy</w:t>
      </w:r>
      <w:r w:rsidRPr="006B4871">
        <w:rPr>
          <w:lang w:val="en-GB"/>
        </w:rPr>
        <w:t xml:space="preserve">, no. 6694/74, judgment of 13 May 1980, §§ 29-30, Series A no. 37; </w:t>
      </w:r>
      <w:r w:rsidRPr="006B4871">
        <w:rPr>
          <w:i/>
          <w:lang w:val="en-GB"/>
        </w:rPr>
        <w:t>ECtHR, Toğcu v. Turkey</w:t>
      </w:r>
      <w:r w:rsidRPr="006B4871">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6B4871">
        <w:rPr>
          <w:i/>
          <w:lang w:val="en-GB"/>
        </w:rPr>
        <w:t>Varnava and Others v Turkey</w:t>
      </w:r>
      <w:r w:rsidRPr="006B4871">
        <w:rPr>
          <w:lang w:val="en-GB"/>
        </w:rPr>
        <w:t xml:space="preserve">, cited above in § </w:t>
      </w:r>
      <w:r w:rsidR="00757455">
        <w:fldChar w:fldCharType="begin"/>
      </w:r>
      <w:r w:rsidR="00757455">
        <w:instrText xml:space="preserve"> REF _Ref346123885 \r \h  \* MERGEFORMAT </w:instrText>
      </w:r>
      <w:r w:rsidR="00757455">
        <w:fldChar w:fldCharType="separate"/>
      </w:r>
      <w:r w:rsidR="009E21A4" w:rsidRPr="009E21A4">
        <w:rPr>
          <w:lang w:val="en-GB"/>
        </w:rPr>
        <w:t>38</w:t>
      </w:r>
      <w:r w:rsidR="00757455">
        <w:fldChar w:fldCharType="end"/>
      </w:r>
      <w:r w:rsidRPr="006B4871">
        <w:rPr>
          <w:lang w:val="en-GB"/>
        </w:rPr>
        <w:t>, at §§ 183-184).</w:t>
      </w:r>
    </w:p>
    <w:p w:rsidR="00163BF4" w:rsidRPr="006B4871" w:rsidRDefault="00163BF4" w:rsidP="00163BF4">
      <w:pPr>
        <w:pStyle w:val="ListParagraph"/>
        <w:ind w:left="360"/>
        <w:jc w:val="both"/>
        <w:rPr>
          <w:lang w:val="en-GB"/>
        </w:rPr>
      </w:pPr>
    </w:p>
    <w:p w:rsidR="00163BF4" w:rsidRPr="006B4871" w:rsidRDefault="00163BF4" w:rsidP="00163BF4">
      <w:pPr>
        <w:pStyle w:val="ListParagraph"/>
        <w:numPr>
          <w:ilvl w:val="0"/>
          <w:numId w:val="2"/>
        </w:numPr>
        <w:jc w:val="both"/>
        <w:rPr>
          <w:lang w:val="en-GB"/>
        </w:rPr>
      </w:pPr>
      <w:r w:rsidRPr="006B4871">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6B4871">
        <w:rPr>
          <w:i/>
          <w:lang w:val="en-GB"/>
        </w:rPr>
        <w:t>Akkum and Others v. Turkey</w:t>
      </w:r>
      <w:r w:rsidRPr="006B4871">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6B4871">
        <w:rPr>
          <w:i/>
          <w:lang w:val="en-GB"/>
        </w:rPr>
        <w:t>Varnava and Others v Turkey</w:t>
      </w:r>
      <w:r w:rsidRPr="006B4871">
        <w:rPr>
          <w:lang w:val="en-GB"/>
        </w:rPr>
        <w:t xml:space="preserve"> [GC], cited above in § </w:t>
      </w:r>
      <w:r w:rsidR="00757455">
        <w:fldChar w:fldCharType="begin"/>
      </w:r>
      <w:r w:rsidR="00757455">
        <w:instrText xml:space="preserve"> REF _Ref346123885 \r \h  \* MERGEFORMAT </w:instrText>
      </w:r>
      <w:r w:rsidR="00757455">
        <w:fldChar w:fldCharType="separate"/>
      </w:r>
      <w:r w:rsidR="009E21A4" w:rsidRPr="009E21A4">
        <w:rPr>
          <w:lang w:val="en-GB"/>
        </w:rPr>
        <w:t>38</w:t>
      </w:r>
      <w:r w:rsidR="00757455">
        <w:fldChar w:fldCharType="end"/>
      </w:r>
      <w:r w:rsidRPr="006B4871">
        <w:rPr>
          <w:lang w:val="en-GB"/>
        </w:rPr>
        <w:t xml:space="preserve">, at § 184; see also, HRC, Benaniza v Algeria, Views of 26 July 2010, § 9.4, CCPR/C/99/D/1588/2007; HRC, </w:t>
      </w:r>
      <w:r w:rsidRPr="006B4871">
        <w:rPr>
          <w:i/>
          <w:lang w:val="en-GB"/>
        </w:rPr>
        <w:t>Bashasha v. Libyan Arab Jamahiriya</w:t>
      </w:r>
      <w:r w:rsidRPr="006B4871">
        <w:rPr>
          <w:lang w:val="en-GB"/>
        </w:rPr>
        <w:t>, Views of 20 October 2010, § 7.2, CCPR/C/100/D/1776/2008).</w:t>
      </w:r>
    </w:p>
    <w:p w:rsidR="00163BF4" w:rsidRPr="006B4871" w:rsidRDefault="00163BF4" w:rsidP="00163BF4">
      <w:pPr>
        <w:pStyle w:val="ListParagraph"/>
        <w:ind w:left="360"/>
        <w:jc w:val="both"/>
        <w:rPr>
          <w:lang w:val="en-GB"/>
        </w:rPr>
      </w:pPr>
    </w:p>
    <w:p w:rsidR="00163BF4" w:rsidRPr="006B4871" w:rsidRDefault="00163BF4" w:rsidP="00163BF4">
      <w:pPr>
        <w:pStyle w:val="ListParagraph"/>
        <w:numPr>
          <w:ilvl w:val="0"/>
          <w:numId w:val="2"/>
        </w:numPr>
        <w:jc w:val="both"/>
        <w:rPr>
          <w:lang w:val="en-GB"/>
        </w:rPr>
      </w:pPr>
      <w:bookmarkStart w:id="58" w:name="_Ref400788384"/>
      <w:r w:rsidRPr="006B4871">
        <w:rPr>
          <w:lang w:val="en-GB"/>
        </w:rPr>
        <w:t xml:space="preserve">The Panel understands that the international jurisprudence has developed in a context where the Government in question may be involved in the substantive allegations, which is not the </w:t>
      </w:r>
      <w:r w:rsidRPr="006B4871">
        <w:rPr>
          <w:lang w:val="en-GB"/>
        </w:rPr>
        <w:lastRenderedPageBreak/>
        <w:t xml:space="preserve">case with UNMIK. The Panel nevertheless considers that since the documentation was under the exclusive control of UNMIK authorities, at least until the handover to EULEX, the principle that “strong inferences” may be drawn from lack of documentation is applicable (see HRAP, </w:t>
      </w:r>
      <w:r w:rsidRPr="006B4871">
        <w:rPr>
          <w:i/>
          <w:lang w:val="en-GB"/>
        </w:rPr>
        <w:t>B.A.,</w:t>
      </w:r>
      <w:r w:rsidRPr="006B4871">
        <w:rPr>
          <w:lang w:val="en-GB"/>
        </w:rPr>
        <w:t xml:space="preserve"> no. 52/09, opinion of 1 February 2013, § 53).</w:t>
      </w:r>
      <w:bookmarkEnd w:id="58"/>
    </w:p>
    <w:p w:rsidR="00163BF4" w:rsidRPr="006B4871" w:rsidRDefault="00163BF4" w:rsidP="00163BF4">
      <w:pPr>
        <w:jc w:val="both"/>
        <w:rPr>
          <w:lang w:val="en-GB"/>
        </w:rPr>
      </w:pPr>
    </w:p>
    <w:p w:rsidR="00163BF4" w:rsidRPr="006B4871" w:rsidRDefault="00BF111E" w:rsidP="00163BF4">
      <w:pPr>
        <w:numPr>
          <w:ilvl w:val="0"/>
          <w:numId w:val="2"/>
        </w:numPr>
        <w:tabs>
          <w:tab w:val="left" w:pos="709"/>
        </w:tabs>
        <w:suppressAutoHyphens/>
        <w:autoSpaceDE w:val="0"/>
        <w:jc w:val="both"/>
        <w:rPr>
          <w:lang w:val="en-GB"/>
        </w:rPr>
      </w:pPr>
      <w:bookmarkStart w:id="59" w:name="_Ref405286818"/>
      <w:r w:rsidRPr="006B4871">
        <w:rPr>
          <w:color w:val="000000" w:themeColor="text1"/>
          <w:lang w:val="en-GB"/>
        </w:rPr>
        <w:t xml:space="preserve">Second, the </w:t>
      </w:r>
      <w:r w:rsidRPr="006B4871">
        <w:rPr>
          <w:color w:val="000000" w:themeColor="text1"/>
        </w:rPr>
        <w:t>Panel</w:t>
      </w:r>
      <w:r w:rsidRPr="006B4871">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Pr="006B4871">
        <w:rPr>
          <w:i/>
          <w:color w:val="000000" w:themeColor="text1"/>
          <w:lang w:val="en-GB"/>
        </w:rPr>
        <w:t xml:space="preserve">Velásquez-Rodríguez </w:t>
      </w:r>
      <w:r w:rsidRPr="006B4871">
        <w:rPr>
          <w:color w:val="000000" w:themeColor="text1"/>
          <w:lang w:val="en-GB"/>
        </w:rPr>
        <w:t xml:space="preserve">(see Inter-American Court of Human Rights (IACtHR), </w:t>
      </w:r>
      <w:r w:rsidRPr="006B4871">
        <w:rPr>
          <w:i/>
          <w:color w:val="000000" w:themeColor="text1"/>
          <w:lang w:val="en-GB"/>
        </w:rPr>
        <w:t>Velásquez-Rodríguez v. Honduras</w:t>
      </w:r>
      <w:r w:rsidRPr="006B4871">
        <w:rPr>
          <w:color w:val="000000" w:themeColor="text1"/>
          <w:lang w:val="en-GB"/>
        </w:rPr>
        <w:t xml:space="preserve">, judgment of 29 July 1988, Series C No. 4). </w:t>
      </w:r>
      <w:r w:rsidRPr="006B4871">
        <w:rPr>
          <w:lang w:val="en-GB"/>
        </w:rPr>
        <w:t>T</w:t>
      </w:r>
      <w:r w:rsidR="00163BF4" w:rsidRPr="006B4871">
        <w:rPr>
          <w:lang w:val="en-GB"/>
        </w:rPr>
        <w:t>he Panel</w:t>
      </w:r>
      <w:r w:rsidRPr="006B4871">
        <w:rPr>
          <w:lang w:val="en-GB"/>
        </w:rPr>
        <w:t xml:space="preserve"> also</w:t>
      </w:r>
      <w:r w:rsidR="00163BF4" w:rsidRPr="006B4871">
        <w:rPr>
          <w:lang w:val="en-GB"/>
        </w:rPr>
        <w:t xml:space="preserve"> notes that the positive obligation to investigate has been stated by the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163BF4" w:rsidRPr="006B4871">
        <w:rPr>
          <w:i/>
          <w:lang w:val="en-GB"/>
        </w:rPr>
        <w:t>Mohamed El Awani, v. Libyan Arab Jamahiriya</w:t>
      </w:r>
      <w:r w:rsidR="00163BF4" w:rsidRPr="006B4871">
        <w:rPr>
          <w:lang w:val="en-GB"/>
        </w:rPr>
        <w:t>, communication no. 1295/2004, views of 11 July 2007, CCPR/C/90/D/1295/2004). The obligation to investigate disappearances and killings is also asserted in the UN Declaration on the Protection of all Persons from Enforced Disappearances (</w:t>
      </w:r>
      <w:r w:rsidR="00163BF4" w:rsidRPr="006B4871">
        <w:t xml:space="preserve">UN Document </w:t>
      </w:r>
      <w:r w:rsidR="00163BF4" w:rsidRPr="006B4871">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9"/>
      <w:r w:rsidR="00163BF4" w:rsidRPr="006B4871">
        <w:rPr>
          <w:lang w:val="en-GB"/>
        </w:rPr>
        <w:t xml:space="preserve">   </w:t>
      </w:r>
    </w:p>
    <w:p w:rsidR="003E3F85" w:rsidRPr="006B4871" w:rsidRDefault="003E3F85" w:rsidP="00163BF4">
      <w:pPr>
        <w:tabs>
          <w:tab w:val="left" w:pos="709"/>
        </w:tabs>
        <w:autoSpaceDE w:val="0"/>
        <w:ind w:left="360"/>
        <w:contextualSpacing/>
        <w:jc w:val="both"/>
        <w:rPr>
          <w:lang w:val="en-GB"/>
        </w:rPr>
      </w:pPr>
    </w:p>
    <w:p w:rsidR="003E3F85" w:rsidRPr="006B4871" w:rsidRDefault="003E3F85" w:rsidP="003E3F85">
      <w:pPr>
        <w:numPr>
          <w:ilvl w:val="0"/>
          <w:numId w:val="2"/>
        </w:numPr>
        <w:tabs>
          <w:tab w:val="left" w:pos="709"/>
        </w:tabs>
        <w:suppressAutoHyphens/>
        <w:autoSpaceDE w:val="0"/>
        <w:jc w:val="both"/>
        <w:rPr>
          <w:lang w:val="en-GB"/>
        </w:rPr>
      </w:pPr>
      <w:bookmarkStart w:id="60" w:name="_Ref366239860"/>
      <w:r w:rsidRPr="006B4871">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B4871">
        <w:rPr>
          <w:i/>
          <w:lang w:val="en-GB"/>
        </w:rPr>
        <w:t>mutatis mutandis</w:t>
      </w:r>
      <w:r w:rsidRPr="006B4871">
        <w:rPr>
          <w:lang w:val="en-GB"/>
        </w:rPr>
        <w:t xml:space="preserve">, ECtHR, </w:t>
      </w:r>
      <w:r w:rsidRPr="006B4871">
        <w:rPr>
          <w:i/>
          <w:lang w:val="en-GB"/>
        </w:rPr>
        <w:t>McCann and Others v. the United Kingdom</w:t>
      </w:r>
      <w:r w:rsidRPr="006B4871">
        <w:rPr>
          <w:lang w:val="en-GB"/>
        </w:rPr>
        <w:t xml:space="preserve">, judgment of 27 September 1995, § 161, Series A no. 324; and ECtHR, </w:t>
      </w:r>
      <w:r w:rsidRPr="006B4871">
        <w:rPr>
          <w:i/>
          <w:lang w:val="en-GB"/>
        </w:rPr>
        <w:t>Kaya v. Turkey</w:t>
      </w:r>
      <w:r w:rsidRPr="006B4871">
        <w:rPr>
          <w:lang w:val="en-GB"/>
        </w:rPr>
        <w:t xml:space="preserve">, judgment of 19 February 1998, § 86, Reports 1998-I; see also ECtHR, </w:t>
      </w:r>
      <w:proofErr w:type="spellStart"/>
      <w:r w:rsidRPr="006B4871">
        <w:rPr>
          <w:i/>
          <w:lang w:val="en-GB"/>
        </w:rPr>
        <w:t>Jasinskis</w:t>
      </w:r>
      <w:proofErr w:type="spellEnd"/>
      <w:r w:rsidRPr="006B4871">
        <w:rPr>
          <w:i/>
          <w:lang w:val="en-GB"/>
        </w:rPr>
        <w:t xml:space="preserve"> v. Latvia</w:t>
      </w:r>
      <w:r w:rsidRPr="006B4871">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6B4871">
        <w:rPr>
          <w:i/>
          <w:lang w:val="en-GB"/>
        </w:rPr>
        <w:t>Kolevi</w:t>
      </w:r>
      <w:proofErr w:type="spellEnd"/>
      <w:r w:rsidRPr="006B4871">
        <w:rPr>
          <w:i/>
          <w:lang w:val="en-GB"/>
        </w:rPr>
        <w:t xml:space="preserve"> v. Bulgaria</w:t>
      </w:r>
      <w:r w:rsidRPr="006B4871">
        <w:rPr>
          <w:lang w:val="en-GB"/>
        </w:rPr>
        <w:t>, no. 1108/02, judgment of 5 November 2009, § 191).</w:t>
      </w:r>
      <w:bookmarkEnd w:id="57"/>
      <w:bookmarkEnd w:id="60"/>
    </w:p>
    <w:p w:rsidR="003E3F85" w:rsidRPr="006B4871" w:rsidRDefault="003E3F85" w:rsidP="003E3F85">
      <w:pPr>
        <w:pStyle w:val="ListParagraph"/>
        <w:tabs>
          <w:tab w:val="num" w:pos="567"/>
        </w:tabs>
        <w:suppressAutoHyphens w:val="0"/>
        <w:ind w:left="567" w:hanging="425"/>
        <w:contextualSpacing/>
        <w:jc w:val="both"/>
        <w:rPr>
          <w:lang w:val="en-GB"/>
        </w:rPr>
      </w:pPr>
    </w:p>
    <w:p w:rsidR="003E3F85" w:rsidRPr="006B4871" w:rsidRDefault="003E3F85" w:rsidP="003E3F85">
      <w:pPr>
        <w:numPr>
          <w:ilvl w:val="0"/>
          <w:numId w:val="2"/>
        </w:numPr>
        <w:tabs>
          <w:tab w:val="left" w:pos="709"/>
        </w:tabs>
        <w:suppressAutoHyphens/>
        <w:autoSpaceDE w:val="0"/>
        <w:jc w:val="both"/>
        <w:rPr>
          <w:lang w:val="en-GB"/>
        </w:rPr>
      </w:pPr>
      <w:bookmarkStart w:id="61" w:name="_Ref401245061"/>
      <w:r w:rsidRPr="006B4871">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B4871">
        <w:rPr>
          <w:i/>
          <w:lang w:val="en-GB"/>
        </w:rPr>
        <w:t>Varnava and Others v. Turkey</w:t>
      </w:r>
      <w:r w:rsidRPr="006B4871">
        <w:rPr>
          <w:lang w:val="en-GB"/>
        </w:rPr>
        <w:t xml:space="preserve">, cited in § </w:t>
      </w:r>
      <w:r w:rsidR="00757455">
        <w:fldChar w:fldCharType="begin"/>
      </w:r>
      <w:r w:rsidR="00757455">
        <w:instrText xml:space="preserve"> REF _Ref346123885 \r \h  \* MERGEFORMAT </w:instrText>
      </w:r>
      <w:r w:rsidR="00757455">
        <w:fldChar w:fldCharType="separate"/>
      </w:r>
      <w:r w:rsidR="009E21A4" w:rsidRPr="009E21A4">
        <w:rPr>
          <w:lang w:val="en-GB"/>
        </w:rPr>
        <w:t>38</w:t>
      </w:r>
      <w:r w:rsidR="00757455">
        <w:fldChar w:fldCharType="end"/>
      </w:r>
      <w:r w:rsidRPr="006B4871">
        <w:rPr>
          <w:lang w:val="en-GB"/>
        </w:rPr>
        <w:t xml:space="preserve"> above, at § 136</w:t>
      </w:r>
      <w:r w:rsidR="00423598" w:rsidRPr="006B4871">
        <w:rPr>
          <w:lang w:val="en-GB"/>
        </w:rPr>
        <w:t>,</w:t>
      </w:r>
      <w:r w:rsidR="00423598" w:rsidRPr="006B4871">
        <w:rPr>
          <w:i/>
          <w:iCs/>
          <w:lang w:val="en-GB"/>
        </w:rPr>
        <w:t xml:space="preserve"> </w:t>
      </w:r>
      <w:r w:rsidR="00423598" w:rsidRPr="006B4871">
        <w:rPr>
          <w:lang w:val="en-GB"/>
        </w:rPr>
        <w:t xml:space="preserve">ECtHR [GC], </w:t>
      </w:r>
      <w:r w:rsidR="00423598" w:rsidRPr="006B4871">
        <w:rPr>
          <w:i/>
          <w:iCs/>
          <w:lang w:val="en-GB"/>
        </w:rPr>
        <w:t>Mocanu and Others v. Romania</w:t>
      </w:r>
      <w:r w:rsidR="00423598" w:rsidRPr="006B4871">
        <w:rPr>
          <w:lang w:val="en-GB"/>
        </w:rPr>
        <w:t>, nos 10865/09, 45886/07 and 32431/08, judgment of 17 September 2014, § 317).</w:t>
      </w:r>
      <w:bookmarkEnd w:id="61"/>
    </w:p>
    <w:p w:rsidR="003E3F85" w:rsidRPr="006B4871" w:rsidRDefault="003E3F85" w:rsidP="003E3F85">
      <w:pPr>
        <w:pStyle w:val="ListParagraph"/>
        <w:tabs>
          <w:tab w:val="num" w:pos="567"/>
        </w:tabs>
        <w:suppressAutoHyphens w:val="0"/>
        <w:ind w:left="567" w:hanging="425"/>
        <w:contextualSpacing/>
        <w:jc w:val="both"/>
        <w:rPr>
          <w:lang w:val="en-GB"/>
        </w:rPr>
      </w:pPr>
    </w:p>
    <w:p w:rsidR="003E3F85" w:rsidRPr="006B4871" w:rsidRDefault="003E3F85" w:rsidP="00423598">
      <w:pPr>
        <w:pStyle w:val="ListParagraph"/>
        <w:numPr>
          <w:ilvl w:val="0"/>
          <w:numId w:val="2"/>
        </w:numPr>
        <w:jc w:val="both"/>
        <w:rPr>
          <w:lang w:val="en-GB" w:eastAsia="en-US"/>
        </w:rPr>
      </w:pPr>
      <w:bookmarkStart w:id="62" w:name="_Ref366240125"/>
      <w:r w:rsidRPr="006B4871">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6B4871">
        <w:rPr>
          <w:i/>
          <w:lang w:val="en-GB"/>
        </w:rPr>
        <w:t>Ahmet</w:t>
      </w:r>
      <w:proofErr w:type="spellEnd"/>
      <w:r w:rsidRPr="006B4871">
        <w:rPr>
          <w:i/>
          <w:lang w:val="en-GB"/>
        </w:rPr>
        <w:t xml:space="preserve"> </w:t>
      </w:r>
      <w:proofErr w:type="spellStart"/>
      <w:r w:rsidRPr="006B4871">
        <w:rPr>
          <w:i/>
          <w:lang w:val="en-GB"/>
        </w:rPr>
        <w:t>Özkan</w:t>
      </w:r>
      <w:proofErr w:type="spellEnd"/>
      <w:r w:rsidRPr="006B4871">
        <w:rPr>
          <w:i/>
          <w:lang w:val="en-GB"/>
        </w:rPr>
        <w:t xml:space="preserve"> and Others v. Turkey</w:t>
      </w:r>
      <w:r w:rsidRPr="006B4871">
        <w:rPr>
          <w:lang w:val="en-GB"/>
        </w:rPr>
        <w:t xml:space="preserve">, no. 21689/93, judgment of 6 April 2004, § 310, see also ECtHR, </w:t>
      </w:r>
      <w:proofErr w:type="spellStart"/>
      <w:r w:rsidRPr="006B4871">
        <w:rPr>
          <w:i/>
          <w:lang w:val="en-GB"/>
        </w:rPr>
        <w:t>Isayeva</w:t>
      </w:r>
      <w:proofErr w:type="spellEnd"/>
      <w:r w:rsidRPr="006B4871">
        <w:rPr>
          <w:i/>
          <w:lang w:val="en-GB"/>
        </w:rPr>
        <w:t xml:space="preserve"> v. Russia</w:t>
      </w:r>
      <w:r w:rsidRPr="006B4871">
        <w:rPr>
          <w:lang w:val="en-GB"/>
        </w:rPr>
        <w:t>, no. 57950/00, judg</w:t>
      </w:r>
      <w:r w:rsidR="00423598" w:rsidRPr="006B4871">
        <w:rPr>
          <w:lang w:val="en-GB"/>
        </w:rPr>
        <w:t>ment of 24 February 2005, § 210,</w:t>
      </w:r>
      <w:r w:rsidR="00423598" w:rsidRPr="006B4871">
        <w:rPr>
          <w:lang w:val="en-GB" w:eastAsia="en-US"/>
        </w:rPr>
        <w:t xml:space="preserve"> ECtHR [GC], </w:t>
      </w:r>
      <w:r w:rsidR="00423598" w:rsidRPr="006B4871">
        <w:rPr>
          <w:i/>
          <w:lang w:val="en-GB" w:eastAsia="en-US"/>
        </w:rPr>
        <w:t>Mocanu and Others v. Romania</w:t>
      </w:r>
      <w:r w:rsidR="00423598" w:rsidRPr="006B4871">
        <w:rPr>
          <w:lang w:val="en-GB" w:eastAsia="en-US"/>
        </w:rPr>
        <w:t>, cited above, § 321).</w:t>
      </w:r>
      <w:bookmarkStart w:id="63" w:name="_Ref346724174"/>
      <w:bookmarkEnd w:id="62"/>
    </w:p>
    <w:p w:rsidR="003E3F85" w:rsidRPr="006B4871" w:rsidRDefault="003E3F85" w:rsidP="003E3F85">
      <w:pPr>
        <w:pStyle w:val="ListParagraph"/>
        <w:tabs>
          <w:tab w:val="num" w:pos="567"/>
        </w:tabs>
        <w:ind w:left="567" w:hanging="425"/>
        <w:rPr>
          <w:lang w:val="en-GB"/>
        </w:rPr>
      </w:pPr>
    </w:p>
    <w:p w:rsidR="003E3F85" w:rsidRPr="006B4871" w:rsidRDefault="003E3F85" w:rsidP="003E3F85">
      <w:pPr>
        <w:numPr>
          <w:ilvl w:val="0"/>
          <w:numId w:val="2"/>
        </w:numPr>
        <w:tabs>
          <w:tab w:val="left" w:pos="709"/>
        </w:tabs>
        <w:suppressAutoHyphens/>
        <w:autoSpaceDE w:val="0"/>
        <w:jc w:val="both"/>
        <w:rPr>
          <w:lang w:val="en-GB"/>
        </w:rPr>
      </w:pPr>
      <w:bookmarkStart w:id="64" w:name="_Ref366239979"/>
      <w:r w:rsidRPr="006B4871">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6B4871">
        <w:rPr>
          <w:i/>
          <w:lang w:val="en-GB"/>
        </w:rPr>
        <w:t xml:space="preserve">Varnava and Others v. </w:t>
      </w:r>
      <w:r w:rsidRPr="006B4871">
        <w:rPr>
          <w:lang w:val="en-GB"/>
        </w:rPr>
        <w:t xml:space="preserve">Turkey, cited in § </w:t>
      </w:r>
      <w:r w:rsidR="00757455">
        <w:fldChar w:fldCharType="begin"/>
      </w:r>
      <w:r w:rsidR="00757455">
        <w:instrText xml:space="preserve"> REF _Ref346123885 \r \h  \* MERGEFORMAT </w:instrText>
      </w:r>
      <w:r w:rsidR="00757455">
        <w:fldChar w:fldCharType="separate"/>
      </w:r>
      <w:r w:rsidR="009E21A4" w:rsidRPr="009E21A4">
        <w:rPr>
          <w:lang w:val="en-GB"/>
        </w:rPr>
        <w:t>38</w:t>
      </w:r>
      <w:r w:rsidR="00757455">
        <w:fldChar w:fldCharType="end"/>
      </w:r>
      <w:r w:rsidRPr="006B4871">
        <w:rPr>
          <w:lang w:val="en-GB"/>
        </w:rPr>
        <w:t xml:space="preserve"> above, at § 191; see also ECtHR, </w:t>
      </w:r>
      <w:r w:rsidRPr="006B4871">
        <w:rPr>
          <w:i/>
          <w:lang w:val="en-GB"/>
        </w:rPr>
        <w:t>Palić v. Bosnia and Herzegovina</w:t>
      </w:r>
      <w:r w:rsidRPr="006B4871">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6B4871">
        <w:rPr>
          <w:i/>
          <w:lang w:val="en-GB"/>
        </w:rPr>
        <w:t>Ahmet</w:t>
      </w:r>
      <w:proofErr w:type="spellEnd"/>
      <w:r w:rsidRPr="006B4871">
        <w:rPr>
          <w:i/>
          <w:lang w:val="en-GB"/>
        </w:rPr>
        <w:t xml:space="preserve"> </w:t>
      </w:r>
      <w:proofErr w:type="spellStart"/>
      <w:r w:rsidRPr="006B4871">
        <w:rPr>
          <w:i/>
          <w:lang w:val="en-GB"/>
        </w:rPr>
        <w:t>Özkan</w:t>
      </w:r>
      <w:proofErr w:type="spellEnd"/>
      <w:r w:rsidRPr="006B4871">
        <w:rPr>
          <w:i/>
          <w:lang w:val="en-GB"/>
        </w:rPr>
        <w:t xml:space="preserve"> and Others v. Turkey</w:t>
      </w:r>
      <w:r w:rsidRPr="006B4871">
        <w:rPr>
          <w:lang w:val="en-GB"/>
        </w:rPr>
        <w:t>, cited above, at § 312, and ECtHR,</w:t>
      </w:r>
      <w:r w:rsidRPr="006B4871">
        <w:rPr>
          <w:i/>
          <w:lang w:val="en-GB"/>
        </w:rPr>
        <w:t xml:space="preserve"> </w:t>
      </w:r>
      <w:proofErr w:type="spellStart"/>
      <w:r w:rsidRPr="006B4871">
        <w:rPr>
          <w:i/>
          <w:lang w:val="en-GB"/>
        </w:rPr>
        <w:t>Isayeva</w:t>
      </w:r>
      <w:proofErr w:type="spellEnd"/>
      <w:r w:rsidRPr="006B4871">
        <w:rPr>
          <w:i/>
          <w:lang w:val="en-GB"/>
        </w:rPr>
        <w:t xml:space="preserve"> v. Russia</w:t>
      </w:r>
      <w:r w:rsidRPr="006B4871">
        <w:rPr>
          <w:lang w:val="en-GB"/>
        </w:rPr>
        <w:t>, cited above, at § 212).</w:t>
      </w:r>
      <w:bookmarkEnd w:id="63"/>
      <w:bookmarkEnd w:id="64"/>
      <w:r w:rsidRPr="006B4871">
        <w:rPr>
          <w:lang w:val="en-GB"/>
        </w:rPr>
        <w:t xml:space="preserve"> </w:t>
      </w:r>
    </w:p>
    <w:p w:rsidR="003E3F85" w:rsidRPr="006B4871" w:rsidRDefault="003E3F85" w:rsidP="003E3F85">
      <w:pPr>
        <w:pStyle w:val="ListParagraph"/>
        <w:suppressAutoHyphens w:val="0"/>
        <w:ind w:left="360"/>
        <w:contextualSpacing/>
        <w:jc w:val="both"/>
        <w:rPr>
          <w:lang w:val="en-GB" w:eastAsia="en-US"/>
        </w:rPr>
      </w:pPr>
    </w:p>
    <w:p w:rsidR="00423598" w:rsidRPr="006B4871" w:rsidRDefault="003E3F85" w:rsidP="00423598">
      <w:pPr>
        <w:pStyle w:val="ListParagraph"/>
        <w:numPr>
          <w:ilvl w:val="0"/>
          <w:numId w:val="2"/>
        </w:numPr>
        <w:jc w:val="both"/>
        <w:rPr>
          <w:lang w:val="en-GB" w:eastAsia="en-US"/>
        </w:rPr>
      </w:pPr>
      <w:bookmarkStart w:id="65" w:name="_Ref373832219"/>
      <w:bookmarkStart w:id="66" w:name="_Ref401245516"/>
      <w:r w:rsidRPr="006B4871">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proofErr w:type="spellStart"/>
      <w:r w:rsidRPr="006B4871">
        <w:rPr>
          <w:i/>
          <w:lang w:val="en-GB"/>
        </w:rPr>
        <w:t>Kolevi</w:t>
      </w:r>
      <w:proofErr w:type="spellEnd"/>
      <w:r w:rsidRPr="006B4871">
        <w:rPr>
          <w:i/>
          <w:lang w:val="en-GB"/>
        </w:rPr>
        <w:t xml:space="preserve"> v. Bulgaria</w:t>
      </w:r>
      <w:r w:rsidRPr="006B4871">
        <w:rPr>
          <w:lang w:val="en-GB"/>
        </w:rPr>
        <w:t xml:space="preserve">, cited in § </w:t>
      </w:r>
      <w:r w:rsidR="00757455">
        <w:fldChar w:fldCharType="begin"/>
      </w:r>
      <w:r w:rsidR="00757455">
        <w:instrText xml:space="preserve"> REF _Ref366239860 \r \h  \* MERGEFORMAT </w:instrText>
      </w:r>
      <w:r w:rsidR="00757455">
        <w:fldChar w:fldCharType="separate"/>
      </w:r>
      <w:r w:rsidR="009E21A4" w:rsidRPr="009E21A4">
        <w:rPr>
          <w:lang w:val="en-GB"/>
        </w:rPr>
        <w:t>64</w:t>
      </w:r>
      <w:r w:rsidR="00757455">
        <w:fldChar w:fldCharType="end"/>
      </w:r>
      <w:r w:rsidRPr="006B4871">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65"/>
      <w:r w:rsidR="00423598" w:rsidRPr="006B4871">
        <w:rPr>
          <w:lang w:val="en-GB"/>
        </w:rPr>
        <w:t xml:space="preserve"> </w:t>
      </w:r>
      <w:r w:rsidR="00423598" w:rsidRPr="006B4871">
        <w:rPr>
          <w:color w:val="000000"/>
          <w:lang w:val="en-GB"/>
        </w:rPr>
        <w:t xml:space="preserve">(see ECtHR, </w:t>
      </w:r>
      <w:proofErr w:type="spellStart"/>
      <w:r w:rsidR="00423598" w:rsidRPr="006B4871">
        <w:rPr>
          <w:i/>
          <w:color w:val="000000"/>
          <w:lang w:val="en-GB"/>
        </w:rPr>
        <w:t>Velcea</w:t>
      </w:r>
      <w:proofErr w:type="spellEnd"/>
      <w:r w:rsidR="00423598" w:rsidRPr="006B4871">
        <w:rPr>
          <w:i/>
          <w:color w:val="000000"/>
          <w:lang w:val="en-GB"/>
        </w:rPr>
        <w:t xml:space="preserve"> and </w:t>
      </w:r>
      <w:proofErr w:type="spellStart"/>
      <w:r w:rsidR="00423598" w:rsidRPr="006B4871">
        <w:rPr>
          <w:i/>
          <w:color w:val="000000"/>
          <w:lang w:val="en-GB"/>
        </w:rPr>
        <w:t>Maz</w:t>
      </w:r>
      <w:r w:rsidR="00423598" w:rsidRPr="006B4871">
        <w:rPr>
          <w:i/>
          <w:lang w:val="en-GB"/>
        </w:rPr>
        <w:t>ăre</w:t>
      </w:r>
      <w:proofErr w:type="spellEnd"/>
      <w:r w:rsidR="00423598" w:rsidRPr="006B4871">
        <w:rPr>
          <w:i/>
          <w:lang w:val="en-GB"/>
        </w:rPr>
        <w:t xml:space="preserve"> v. Romania</w:t>
      </w:r>
      <w:r w:rsidR="00423598" w:rsidRPr="006B4871">
        <w:rPr>
          <w:lang w:val="en-GB"/>
        </w:rPr>
        <w:t xml:space="preserve">, no. 64301/01, judgment of 1 December 2009, § 105). At the same time, </w:t>
      </w:r>
      <w:r w:rsidR="00423598" w:rsidRPr="006B4871">
        <w:rPr>
          <w:rStyle w:val="sb8d990e2"/>
        </w:rPr>
        <w:t>the authorities must always make a serious attempt to find out what happened and should not rely on hasty or ill-founded conclusions to close their investigation</w:t>
      </w:r>
      <w:r w:rsidR="00423598" w:rsidRPr="006B4871">
        <w:rPr>
          <w:rStyle w:val="sb8d990e2"/>
          <w:color w:val="FF0000"/>
        </w:rPr>
        <w:t xml:space="preserve"> </w:t>
      </w:r>
      <w:r w:rsidR="00423598" w:rsidRPr="006B4871">
        <w:rPr>
          <w:lang w:val="en-GB" w:eastAsia="en-US"/>
        </w:rPr>
        <w:t xml:space="preserve">(see ECtHR [GC], </w:t>
      </w:r>
      <w:r w:rsidR="00423598" w:rsidRPr="006B4871">
        <w:rPr>
          <w:i/>
          <w:lang w:val="en-GB" w:eastAsia="en-US"/>
        </w:rPr>
        <w:t>El-</w:t>
      </w:r>
      <w:proofErr w:type="spellStart"/>
      <w:r w:rsidR="00423598" w:rsidRPr="006B4871">
        <w:rPr>
          <w:i/>
          <w:lang w:val="en-GB" w:eastAsia="en-US"/>
        </w:rPr>
        <w:t>Masri</w:t>
      </w:r>
      <w:proofErr w:type="spellEnd"/>
      <w:r w:rsidR="00423598" w:rsidRPr="006B4871">
        <w:rPr>
          <w:i/>
          <w:lang w:val="en-GB" w:eastAsia="en-US"/>
        </w:rPr>
        <w:t xml:space="preserve"> v. “The Former Yugoslav Republic of Macedonia”</w:t>
      </w:r>
      <w:r w:rsidR="00423598" w:rsidRPr="006B4871">
        <w:rPr>
          <w:lang w:val="en-GB" w:eastAsia="en-US"/>
        </w:rPr>
        <w:t xml:space="preserve">, no. 39630/09, judgment of 13 December 2012, § 183; ECtHR [GC], </w:t>
      </w:r>
      <w:r w:rsidR="00423598" w:rsidRPr="006B4871">
        <w:rPr>
          <w:i/>
          <w:lang w:val="en-GB" w:eastAsia="en-US"/>
        </w:rPr>
        <w:t>Mocanu and Others v. Romania</w:t>
      </w:r>
      <w:r w:rsidR="00423598" w:rsidRPr="006B4871">
        <w:rPr>
          <w:lang w:val="en-GB" w:eastAsia="en-US"/>
        </w:rPr>
        <w:t xml:space="preserve">, cited in § </w:t>
      </w:r>
      <w:r w:rsidR="00757455">
        <w:fldChar w:fldCharType="begin"/>
      </w:r>
      <w:r w:rsidR="00757455">
        <w:instrText xml:space="preserve"> REF _Ref401245061 \r \h  \* MERGEFORMAT </w:instrText>
      </w:r>
      <w:r w:rsidR="00757455">
        <w:fldChar w:fldCharType="separate"/>
      </w:r>
      <w:r w:rsidR="009E21A4" w:rsidRPr="009E21A4">
        <w:rPr>
          <w:lang w:val="en-GB" w:eastAsia="en-US"/>
        </w:rPr>
        <w:t>65</w:t>
      </w:r>
      <w:r w:rsidR="00757455">
        <w:fldChar w:fldCharType="end"/>
      </w:r>
      <w:r w:rsidR="00423598" w:rsidRPr="006B4871">
        <w:rPr>
          <w:lang w:val="en-GB" w:eastAsia="en-US"/>
        </w:rPr>
        <w:t xml:space="preserve"> above, at § 322).</w:t>
      </w:r>
      <w:bookmarkEnd w:id="66"/>
    </w:p>
    <w:p w:rsidR="003E3F85" w:rsidRPr="006B4871" w:rsidRDefault="003E3F85" w:rsidP="00423598">
      <w:pPr>
        <w:tabs>
          <w:tab w:val="left" w:pos="709"/>
        </w:tabs>
        <w:suppressAutoHyphens/>
        <w:autoSpaceDE w:val="0"/>
        <w:ind w:left="360"/>
        <w:jc w:val="both"/>
        <w:rPr>
          <w:lang w:val="en-GB"/>
        </w:rPr>
      </w:pPr>
    </w:p>
    <w:p w:rsidR="003E3F85" w:rsidRPr="006B4871" w:rsidRDefault="003E3F85" w:rsidP="003E3F85">
      <w:pPr>
        <w:numPr>
          <w:ilvl w:val="0"/>
          <w:numId w:val="2"/>
        </w:numPr>
        <w:tabs>
          <w:tab w:val="left" w:pos="709"/>
        </w:tabs>
        <w:suppressAutoHyphens/>
        <w:autoSpaceDE w:val="0"/>
        <w:jc w:val="both"/>
        <w:rPr>
          <w:lang w:val="en-GB"/>
        </w:rPr>
      </w:pPr>
      <w:bookmarkStart w:id="67" w:name="_Ref404684740"/>
      <w:r w:rsidRPr="006B4871">
        <w:rPr>
          <w:rStyle w:val="sb8d990e2"/>
        </w:rPr>
        <w:t xml:space="preserve">A requirement of promptness and reasonable expedition is implicit in this context. Even where there may be obstacles or difficulties which prevent progress in an </w:t>
      </w:r>
      <w:bookmarkStart w:id="68" w:name="HIT98"/>
      <w:bookmarkEnd w:id="68"/>
      <w:r w:rsidRPr="006B4871">
        <w:rPr>
          <w:rStyle w:val="sb8d990e2"/>
        </w:rPr>
        <w:t xml:space="preserve">investigation in a particular situation, a </w:t>
      </w:r>
      <w:bookmarkStart w:id="69" w:name="HIT99"/>
      <w:bookmarkEnd w:id="69"/>
      <w:r w:rsidRPr="006B4871">
        <w:rPr>
          <w:rStyle w:val="sb8d990e2"/>
        </w:rPr>
        <w:t>prompt response by the authorities is vital in maintaining public confidence in their adherence to the rule of law and in preventing any appearance of collusion in or tolerance of unlawful acts (see ECtHR,</w:t>
      </w:r>
      <w:r w:rsidRPr="006B4871">
        <w:rPr>
          <w:rStyle w:val="s6b621b36"/>
        </w:rPr>
        <w:t xml:space="preserve"> </w:t>
      </w:r>
      <w:r w:rsidRPr="006B4871">
        <w:rPr>
          <w:rStyle w:val="s6b621b36"/>
          <w:i/>
        </w:rPr>
        <w:t>Paul and Audrey Edwards</w:t>
      </w:r>
      <w:r w:rsidRPr="006B4871">
        <w:rPr>
          <w:rStyle w:val="sb8d990e2"/>
        </w:rPr>
        <w:t xml:space="preserve"> </w:t>
      </w:r>
      <w:r w:rsidRPr="006B4871">
        <w:rPr>
          <w:i/>
        </w:rPr>
        <w:t>v. the United Kingdom</w:t>
      </w:r>
      <w:r w:rsidRPr="006B4871">
        <w:t xml:space="preserve">, no. 46477/99, judgment of 14 March 2002, § 72, </w:t>
      </w:r>
      <w:r w:rsidR="00423598" w:rsidRPr="006B4871">
        <w:t xml:space="preserve">ECtHR [GC], </w:t>
      </w:r>
      <w:r w:rsidR="00423598" w:rsidRPr="006B4871">
        <w:rPr>
          <w:i/>
        </w:rPr>
        <w:t>Mocanu and Others v. Romania</w:t>
      </w:r>
      <w:r w:rsidR="00423598" w:rsidRPr="006B4871">
        <w:t xml:space="preserve">, cited in § </w:t>
      </w:r>
      <w:r w:rsidR="00757455">
        <w:fldChar w:fldCharType="begin"/>
      </w:r>
      <w:r w:rsidR="00757455">
        <w:instrText xml:space="preserve"> REF _Ref401245061 \r \h  \* MERGEFORMAT </w:instrText>
      </w:r>
      <w:r w:rsidR="00757455">
        <w:fldChar w:fldCharType="separate"/>
      </w:r>
      <w:r w:rsidR="009E21A4">
        <w:t>65</w:t>
      </w:r>
      <w:r w:rsidR="00757455">
        <w:fldChar w:fldCharType="end"/>
      </w:r>
      <w:r w:rsidR="00423598" w:rsidRPr="006B4871">
        <w:t xml:space="preserve"> above, at § 323</w:t>
      </w:r>
      <w:r w:rsidRPr="006B4871">
        <w:t>).</w:t>
      </w:r>
      <w:bookmarkEnd w:id="67"/>
    </w:p>
    <w:p w:rsidR="003E3F85" w:rsidRPr="006B4871" w:rsidRDefault="003E3F85" w:rsidP="003E3F85">
      <w:pPr>
        <w:tabs>
          <w:tab w:val="num" w:pos="567"/>
        </w:tabs>
        <w:ind w:left="567" w:hanging="425"/>
        <w:contextualSpacing/>
        <w:jc w:val="both"/>
        <w:rPr>
          <w:lang w:val="en-GB"/>
        </w:rPr>
      </w:pPr>
    </w:p>
    <w:p w:rsidR="003E3F85" w:rsidRPr="006B4871" w:rsidRDefault="003E3F85" w:rsidP="003E3F85">
      <w:pPr>
        <w:numPr>
          <w:ilvl w:val="0"/>
          <w:numId w:val="2"/>
        </w:numPr>
        <w:tabs>
          <w:tab w:val="left" w:pos="709"/>
        </w:tabs>
        <w:suppressAutoHyphens/>
        <w:autoSpaceDE w:val="0"/>
        <w:jc w:val="both"/>
        <w:rPr>
          <w:lang w:val="en-GB"/>
        </w:rPr>
      </w:pPr>
      <w:bookmarkStart w:id="70" w:name="_Ref373950745"/>
      <w:r w:rsidRPr="006B4871">
        <w:rPr>
          <w:lang w:val="en-GB"/>
        </w:rPr>
        <w:lastRenderedPageBreak/>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B4871">
        <w:rPr>
          <w:i/>
          <w:lang w:val="en-GB"/>
        </w:rPr>
        <w:t>Palić v. Bosnia and Herzegovina</w:t>
      </w:r>
      <w:r w:rsidRPr="006B4871">
        <w:rPr>
          <w:lang w:val="en-GB"/>
        </w:rPr>
        <w:t xml:space="preserve">, cited in § </w:t>
      </w:r>
      <w:r w:rsidR="00757455">
        <w:fldChar w:fldCharType="begin"/>
      </w:r>
      <w:r w:rsidR="00757455">
        <w:instrText xml:space="preserve"> REF _Ref366239979 \r \h  \* MERGEFORMAT </w:instrText>
      </w:r>
      <w:r w:rsidR="00757455">
        <w:fldChar w:fldCharType="separate"/>
      </w:r>
      <w:r w:rsidR="009E21A4" w:rsidRPr="009E21A4">
        <w:rPr>
          <w:lang w:val="en-GB"/>
        </w:rPr>
        <w:t>67</w:t>
      </w:r>
      <w:r w:rsidR="00757455">
        <w:fldChar w:fldCharType="end"/>
      </w:r>
      <w:r w:rsidRPr="006B4871">
        <w:rPr>
          <w:lang w:val="en-GB"/>
        </w:rPr>
        <w:t xml:space="preserve"> above, § 46; in the same sense ECtHR [GC], </w:t>
      </w:r>
      <w:r w:rsidRPr="006B4871">
        <w:rPr>
          <w:i/>
          <w:lang w:val="en-GB"/>
        </w:rPr>
        <w:t>Varnava and Others v. Turkey</w:t>
      </w:r>
      <w:r w:rsidRPr="006B4871">
        <w:rPr>
          <w:lang w:val="en-GB"/>
        </w:rPr>
        <w:t xml:space="preserve">, cited in § </w:t>
      </w:r>
      <w:r w:rsidR="00757455">
        <w:fldChar w:fldCharType="begin"/>
      </w:r>
      <w:r w:rsidR="00757455">
        <w:instrText xml:space="preserve"> REF _Ref346123885 \r \h  \* MERGEFORMAT </w:instrText>
      </w:r>
      <w:r w:rsidR="00757455">
        <w:fldChar w:fldCharType="separate"/>
      </w:r>
      <w:r w:rsidR="009E21A4" w:rsidRPr="009E21A4">
        <w:rPr>
          <w:lang w:val="en-GB"/>
        </w:rPr>
        <w:t>38</w:t>
      </w:r>
      <w:r w:rsidR="00757455">
        <w:fldChar w:fldCharType="end"/>
      </w:r>
      <w:r w:rsidRPr="006B4871">
        <w:rPr>
          <w:lang w:val="en-GB"/>
        </w:rPr>
        <w:t xml:space="preserve"> above, § 148, </w:t>
      </w:r>
      <w:r w:rsidRPr="006B4871">
        <w:rPr>
          <w:i/>
          <w:lang w:val="en-GB"/>
        </w:rPr>
        <w:t>Aslakhanova and Others v. Russia</w:t>
      </w:r>
      <w:r w:rsidRPr="006B4871">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B4871">
        <w:rPr>
          <w:i/>
          <w:lang w:val="en-GB"/>
        </w:rPr>
        <w:t>Palić v. Bosnia and Herzegovina</w:t>
      </w:r>
      <w:r w:rsidRPr="006B4871">
        <w:rPr>
          <w:lang w:val="en-GB"/>
        </w:rPr>
        <w:t xml:space="preserve">, cited above, § 46; in the same sense ECtHR [GC], </w:t>
      </w:r>
      <w:r w:rsidRPr="006B4871">
        <w:rPr>
          <w:i/>
          <w:lang w:val="en-GB"/>
        </w:rPr>
        <w:t>Varnava and Others v. Turkey</w:t>
      </w:r>
      <w:r w:rsidRPr="006B4871">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6B4871">
        <w:rPr>
          <w:i/>
          <w:lang w:val="en-GB"/>
        </w:rPr>
        <w:t>Palić v. Bosnia and Herzegovina</w:t>
      </w:r>
      <w:r w:rsidRPr="006B4871">
        <w:rPr>
          <w:lang w:val="en-GB"/>
        </w:rPr>
        <w:t>, cited above, § 64).</w:t>
      </w:r>
      <w:bookmarkStart w:id="71" w:name="_Ref347937166"/>
      <w:bookmarkEnd w:id="70"/>
    </w:p>
    <w:p w:rsidR="003E3F85" w:rsidRPr="006B4871" w:rsidRDefault="003E3F85" w:rsidP="003E3F85">
      <w:pPr>
        <w:pStyle w:val="ListParagraph"/>
        <w:suppressAutoHyphens w:val="0"/>
        <w:ind w:left="360"/>
        <w:contextualSpacing/>
        <w:jc w:val="both"/>
        <w:rPr>
          <w:lang w:val="en-GB" w:eastAsia="en-US"/>
        </w:rPr>
      </w:pPr>
    </w:p>
    <w:p w:rsidR="002437E9" w:rsidRPr="006B4871" w:rsidRDefault="003E3F85" w:rsidP="002437E9">
      <w:pPr>
        <w:numPr>
          <w:ilvl w:val="0"/>
          <w:numId w:val="2"/>
        </w:numPr>
        <w:tabs>
          <w:tab w:val="left" w:pos="709"/>
        </w:tabs>
        <w:suppressAutoHyphens/>
        <w:autoSpaceDE w:val="0"/>
        <w:jc w:val="both"/>
        <w:rPr>
          <w:lang w:val="en-GB"/>
        </w:rPr>
      </w:pPr>
      <w:bookmarkStart w:id="72" w:name="_Ref366240205"/>
      <w:r w:rsidRPr="006B4871">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6B4871">
        <w:rPr>
          <w:lang w:val="en-GB"/>
        </w:rPr>
        <w:t xml:space="preserve">ECtHR, </w:t>
      </w:r>
      <w:proofErr w:type="spellStart"/>
      <w:r w:rsidRPr="006B4871">
        <w:rPr>
          <w:i/>
          <w:lang w:val="en-GB"/>
        </w:rPr>
        <w:t>Ahmet</w:t>
      </w:r>
      <w:proofErr w:type="spellEnd"/>
      <w:r w:rsidRPr="006B4871">
        <w:rPr>
          <w:i/>
          <w:lang w:val="en-GB"/>
        </w:rPr>
        <w:t xml:space="preserve"> </w:t>
      </w:r>
      <w:proofErr w:type="spellStart"/>
      <w:r w:rsidRPr="006B4871">
        <w:rPr>
          <w:i/>
          <w:lang w:val="en-GB"/>
        </w:rPr>
        <w:t>Özkan</w:t>
      </w:r>
      <w:proofErr w:type="spellEnd"/>
      <w:r w:rsidRPr="006B4871">
        <w:rPr>
          <w:i/>
          <w:lang w:val="en-GB"/>
        </w:rPr>
        <w:t xml:space="preserve"> and Others v. Turkey</w:t>
      </w:r>
      <w:r w:rsidRPr="006B4871">
        <w:rPr>
          <w:lang w:val="en-GB"/>
        </w:rPr>
        <w:t xml:space="preserve">, cited in § </w:t>
      </w:r>
      <w:r w:rsidR="00757455">
        <w:fldChar w:fldCharType="begin"/>
      </w:r>
      <w:r w:rsidR="00757455">
        <w:instrText xml:space="preserve"> REF _Ref366240125 \r \h  \* MERGEFORMAT </w:instrText>
      </w:r>
      <w:r w:rsidR="00757455">
        <w:fldChar w:fldCharType="separate"/>
      </w:r>
      <w:r w:rsidR="009E21A4" w:rsidRPr="009E21A4">
        <w:rPr>
          <w:lang w:val="en-GB"/>
        </w:rPr>
        <w:t>66</w:t>
      </w:r>
      <w:r w:rsidR="00757455">
        <w:fldChar w:fldCharType="end"/>
      </w:r>
      <w:r w:rsidRPr="006B4871">
        <w:rPr>
          <w:lang w:val="en-GB"/>
        </w:rPr>
        <w:t xml:space="preserve"> above, at §§ 311</w:t>
      </w:r>
      <w:r w:rsidRPr="006B4871">
        <w:rPr>
          <w:lang w:val="en-GB"/>
        </w:rPr>
        <w:noBreakHyphen/>
        <w:t xml:space="preserve">314; </w:t>
      </w:r>
      <w:r w:rsidR="00566413" w:rsidRPr="006B4871">
        <w:rPr>
          <w:lang w:val="en-GB"/>
        </w:rPr>
        <w:t xml:space="preserve">ECtHR, </w:t>
      </w:r>
      <w:proofErr w:type="spellStart"/>
      <w:r w:rsidRPr="006B4871">
        <w:rPr>
          <w:i/>
          <w:lang w:val="en-GB"/>
        </w:rPr>
        <w:t>Isayeva</w:t>
      </w:r>
      <w:proofErr w:type="spellEnd"/>
      <w:r w:rsidRPr="006B4871">
        <w:rPr>
          <w:i/>
          <w:lang w:val="en-GB"/>
        </w:rPr>
        <w:t xml:space="preserve"> v. Russia</w:t>
      </w:r>
      <w:r w:rsidRPr="006B4871">
        <w:rPr>
          <w:lang w:val="en-GB"/>
        </w:rPr>
        <w:t xml:space="preserve">, cited in § </w:t>
      </w:r>
      <w:r w:rsidR="00757455">
        <w:fldChar w:fldCharType="begin"/>
      </w:r>
      <w:r w:rsidR="00757455">
        <w:instrText xml:space="preserve"> REF _Ref366240125 \r \h  \* MERGEFORMAT </w:instrText>
      </w:r>
      <w:r w:rsidR="00757455">
        <w:fldChar w:fldCharType="separate"/>
      </w:r>
      <w:r w:rsidR="009E21A4" w:rsidRPr="009E21A4">
        <w:rPr>
          <w:lang w:val="en-GB"/>
        </w:rPr>
        <w:t>66</w:t>
      </w:r>
      <w:r w:rsidR="00757455">
        <w:fldChar w:fldCharType="end"/>
      </w:r>
      <w:r w:rsidRPr="006B4871">
        <w:rPr>
          <w:lang w:val="en-GB"/>
        </w:rPr>
        <w:t xml:space="preserve"> above, §§ 211-214 and the cases cited therein</w:t>
      </w:r>
      <w:r w:rsidR="00566413" w:rsidRPr="006B4871">
        <w:rPr>
          <w:lang w:val="en-GB"/>
        </w:rPr>
        <w:t>;</w:t>
      </w:r>
      <w:r w:rsidRPr="006B4871">
        <w:rPr>
          <w:lang w:val="en-GB"/>
        </w:rPr>
        <w:t xml:space="preserve"> ECtHR [GC], </w:t>
      </w:r>
      <w:r w:rsidRPr="006B4871">
        <w:rPr>
          <w:i/>
          <w:lang w:val="en-GB"/>
        </w:rPr>
        <w:t>Al-</w:t>
      </w:r>
      <w:proofErr w:type="spellStart"/>
      <w:r w:rsidRPr="006B4871">
        <w:rPr>
          <w:i/>
          <w:lang w:val="en-GB"/>
        </w:rPr>
        <w:t>Skeini</w:t>
      </w:r>
      <w:proofErr w:type="spellEnd"/>
      <w:r w:rsidRPr="006B4871">
        <w:rPr>
          <w:i/>
          <w:lang w:val="en-GB"/>
        </w:rPr>
        <w:t xml:space="preserve"> and Others v. United Kingdom</w:t>
      </w:r>
      <w:r w:rsidRPr="006B4871">
        <w:rPr>
          <w:lang w:val="en-GB"/>
        </w:rPr>
        <w:t>, no. 55721/07, judgment of 7 July 2011, § 167, ECHR 2011</w:t>
      </w:r>
      <w:r w:rsidR="00423598" w:rsidRPr="006B4871">
        <w:rPr>
          <w:lang w:val="en-GB"/>
        </w:rPr>
        <w:t xml:space="preserve">, ECtHR [GC], </w:t>
      </w:r>
      <w:r w:rsidR="00423598" w:rsidRPr="006B4871">
        <w:rPr>
          <w:i/>
          <w:lang w:val="en-GB"/>
        </w:rPr>
        <w:t>Mocanu and Others v. Romania</w:t>
      </w:r>
      <w:r w:rsidR="00423598" w:rsidRPr="006B4871">
        <w:rPr>
          <w:lang w:val="en-GB"/>
        </w:rPr>
        <w:t xml:space="preserve">, cited in § </w:t>
      </w:r>
      <w:r w:rsidR="00757455">
        <w:fldChar w:fldCharType="begin"/>
      </w:r>
      <w:r w:rsidR="00757455">
        <w:instrText xml:space="preserve"> REF _Ref401245061 \r \h  \* MERGEFORMAT </w:instrText>
      </w:r>
      <w:r w:rsidR="00757455">
        <w:fldChar w:fldCharType="separate"/>
      </w:r>
      <w:r w:rsidR="009E21A4" w:rsidRPr="009E21A4">
        <w:rPr>
          <w:lang w:val="en-GB"/>
        </w:rPr>
        <w:t>65</w:t>
      </w:r>
      <w:r w:rsidR="00757455">
        <w:fldChar w:fldCharType="end"/>
      </w:r>
      <w:r w:rsidR="00423598" w:rsidRPr="006B4871">
        <w:rPr>
          <w:lang w:val="en-GB"/>
        </w:rPr>
        <w:t xml:space="preserve"> above, at § 324</w:t>
      </w:r>
      <w:r w:rsidRPr="006B4871">
        <w:rPr>
          <w:lang w:val="en-GB"/>
        </w:rPr>
        <w:t>).</w:t>
      </w:r>
      <w:bookmarkEnd w:id="71"/>
      <w:bookmarkEnd w:id="72"/>
    </w:p>
    <w:p w:rsidR="002437E9" w:rsidRPr="006B4871" w:rsidRDefault="002437E9" w:rsidP="002437E9">
      <w:pPr>
        <w:pStyle w:val="ListParagraph"/>
        <w:rPr>
          <w:lang w:val="en-GB"/>
        </w:rPr>
      </w:pPr>
    </w:p>
    <w:p w:rsidR="003E3F85" w:rsidRPr="006B4871" w:rsidRDefault="002437E9" w:rsidP="002437E9">
      <w:pPr>
        <w:numPr>
          <w:ilvl w:val="0"/>
          <w:numId w:val="2"/>
        </w:numPr>
        <w:tabs>
          <w:tab w:val="left" w:pos="709"/>
        </w:tabs>
        <w:suppressAutoHyphens/>
        <w:autoSpaceDE w:val="0"/>
        <w:jc w:val="both"/>
        <w:rPr>
          <w:lang w:val="en-GB"/>
        </w:rPr>
      </w:pPr>
      <w:r w:rsidRPr="006B4871">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6B4871">
        <w:rPr>
          <w:lang w:val="en-GB"/>
        </w:rPr>
        <w:t xml:space="preserve">ECtHR, </w:t>
      </w:r>
      <w:r w:rsidR="00423598" w:rsidRPr="006B4871">
        <w:rPr>
          <w:i/>
          <w:iCs/>
          <w:lang w:val="en-GB"/>
        </w:rPr>
        <w:t>El-</w:t>
      </w:r>
      <w:proofErr w:type="spellStart"/>
      <w:r w:rsidR="00423598" w:rsidRPr="006B4871">
        <w:rPr>
          <w:i/>
          <w:iCs/>
          <w:lang w:val="en-GB"/>
        </w:rPr>
        <w:t>Masri</w:t>
      </w:r>
      <w:proofErr w:type="spellEnd"/>
      <w:r w:rsidR="00423598" w:rsidRPr="006B4871">
        <w:rPr>
          <w:i/>
          <w:iCs/>
          <w:lang w:val="en-GB"/>
        </w:rPr>
        <w:t xml:space="preserve"> v. “The Former Yugoslav Republic of Macedonia”</w:t>
      </w:r>
      <w:r w:rsidR="00423598" w:rsidRPr="006B4871">
        <w:rPr>
          <w:lang w:val="en-GB"/>
        </w:rPr>
        <w:t xml:space="preserve">, cited in § </w:t>
      </w:r>
      <w:r w:rsidR="00757455">
        <w:fldChar w:fldCharType="begin"/>
      </w:r>
      <w:r w:rsidR="00757455">
        <w:instrText xml:space="preserve"> REF _Ref401245516 \r \h  \* MERGEFORMAT </w:instrText>
      </w:r>
      <w:r w:rsidR="00757455">
        <w:fldChar w:fldCharType="separate"/>
      </w:r>
      <w:r w:rsidR="009E21A4" w:rsidRPr="009E21A4">
        <w:rPr>
          <w:lang w:val="en-GB"/>
        </w:rPr>
        <w:t>68</w:t>
      </w:r>
      <w:r w:rsidR="00757455">
        <w:fldChar w:fldCharType="end"/>
      </w:r>
      <w:r w:rsidR="00423598" w:rsidRPr="006B4871">
        <w:rPr>
          <w:lang w:val="en-GB"/>
        </w:rPr>
        <w:t xml:space="preserve"> above, § 191</w:t>
      </w:r>
      <w:r w:rsidRPr="006B4871">
        <w:rPr>
          <w:lang w:val="en-GB"/>
        </w:rPr>
        <w:t xml:space="preserve">; ECtHR, </w:t>
      </w:r>
      <w:r w:rsidRPr="006B4871">
        <w:rPr>
          <w:i/>
          <w:iCs/>
          <w:lang w:val="en-GB"/>
        </w:rPr>
        <w:t xml:space="preserve">Al </w:t>
      </w:r>
      <w:proofErr w:type="spellStart"/>
      <w:r w:rsidRPr="006B4871">
        <w:rPr>
          <w:i/>
          <w:iCs/>
          <w:lang w:val="en-GB"/>
        </w:rPr>
        <w:t>Nashiri</w:t>
      </w:r>
      <w:proofErr w:type="spellEnd"/>
      <w:r w:rsidRPr="006B4871">
        <w:rPr>
          <w:i/>
          <w:iCs/>
          <w:lang w:val="en-GB"/>
        </w:rPr>
        <w:t xml:space="preserve"> v. Poland</w:t>
      </w:r>
      <w:r w:rsidRPr="006B4871">
        <w:rPr>
          <w:lang w:val="en-GB"/>
        </w:rPr>
        <w:t xml:space="preserve">, no. 28761/11, judgment of 24 July 2014, §§ 495-496). </w:t>
      </w:r>
      <w:r w:rsidRPr="006B4871">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6B4871">
        <w:t xml:space="preserve"> see also HRC,  </w:t>
      </w:r>
      <w:proofErr w:type="spellStart"/>
      <w:r w:rsidRPr="006B4871">
        <w:rPr>
          <w:i/>
          <w:iCs/>
        </w:rPr>
        <w:t>Schedko</w:t>
      </w:r>
      <w:proofErr w:type="spellEnd"/>
      <w:r w:rsidRPr="006B4871">
        <w:rPr>
          <w:i/>
          <w:iCs/>
        </w:rPr>
        <w:t xml:space="preserve"> and </w:t>
      </w:r>
      <w:proofErr w:type="spellStart"/>
      <w:r w:rsidRPr="006B4871">
        <w:rPr>
          <w:i/>
          <w:iCs/>
        </w:rPr>
        <w:t>Bondarenko</w:t>
      </w:r>
      <w:proofErr w:type="spellEnd"/>
      <w:r w:rsidRPr="006B4871">
        <w:rPr>
          <w:i/>
          <w:iCs/>
        </w:rPr>
        <w:t xml:space="preserve"> v. Belarus</w:t>
      </w:r>
      <w:r w:rsidRPr="006B4871">
        <w:t xml:space="preserve">, Communication no. 886/1999, views of 3 April 2003, § 10.2, CCPR/C/77/D/886/1999; HRC, </w:t>
      </w:r>
      <w:r w:rsidRPr="006B4871">
        <w:rPr>
          <w:i/>
          <w:iCs/>
        </w:rPr>
        <w:t xml:space="preserve">Mariam, Philippe, </w:t>
      </w:r>
      <w:proofErr w:type="spellStart"/>
      <w:r w:rsidRPr="006B4871">
        <w:rPr>
          <w:i/>
          <w:iCs/>
        </w:rPr>
        <w:t>Auguste</w:t>
      </w:r>
      <w:proofErr w:type="spellEnd"/>
      <w:r w:rsidRPr="006B4871">
        <w:rPr>
          <w:i/>
          <w:iCs/>
        </w:rPr>
        <w:t xml:space="preserve"> and Thomas </w:t>
      </w:r>
      <w:proofErr w:type="spellStart"/>
      <w:r w:rsidRPr="006B4871">
        <w:rPr>
          <w:i/>
          <w:iCs/>
        </w:rPr>
        <w:t>Sankara</w:t>
      </w:r>
      <w:proofErr w:type="spellEnd"/>
      <w:r w:rsidRPr="006B4871">
        <w:rPr>
          <w:i/>
          <w:iCs/>
        </w:rPr>
        <w:t xml:space="preserve"> v. Burkina Faso</w:t>
      </w:r>
      <w:r w:rsidRPr="006B4871">
        <w:t>, Communication no. 1159/2003, views of 8 March 2006</w:t>
      </w:r>
      <w:r w:rsidRPr="006B4871">
        <w:rPr>
          <w:color w:val="000000"/>
          <w:sz w:val="27"/>
          <w:szCs w:val="27"/>
          <w:shd w:val="clear" w:color="auto" w:fill="FFFFFF"/>
        </w:rPr>
        <w:t xml:space="preserve">, </w:t>
      </w:r>
      <w:r w:rsidRPr="006B4871">
        <w:t xml:space="preserve">§ 10.2, CCPR/C/86/D/1159/2003; UN Human Rights Council, Resolutions 9/11 and 12/12: Right to the </w:t>
      </w:r>
      <w:r w:rsidRPr="006B4871">
        <w:rPr>
          <w:lang w:val="en-GB"/>
        </w:rPr>
        <w:t>Truth</w:t>
      </w:r>
      <w:r w:rsidRPr="006B4871">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w:t>
      </w:r>
      <w:r w:rsidRPr="006B4871">
        <w:lastRenderedPageBreak/>
        <w:t xml:space="preserve">terrorism, Mr Ben </w:t>
      </w:r>
      <w:proofErr w:type="spellStart"/>
      <w:r w:rsidRPr="006B4871">
        <w:t>Emmerson</w:t>
      </w:r>
      <w:proofErr w:type="spellEnd"/>
      <w:r w:rsidRPr="006B4871">
        <w:t xml:space="preserve">, </w:t>
      </w:r>
      <w:r w:rsidRPr="006B4871">
        <w:rPr>
          <w:i/>
          <w:iCs/>
        </w:rPr>
        <w:t>Framework Principles for securing the accountability of public officials for gross and systematic human rights violations committed in the context of State counter-terrorist initiatives</w:t>
      </w:r>
      <w:r w:rsidRPr="006B4871">
        <w:t>, UN Document A/HRC/22/52, 1 March 2013, § 23-26).</w:t>
      </w:r>
    </w:p>
    <w:p w:rsidR="002C60F4" w:rsidRPr="006B4871" w:rsidRDefault="002C60F4" w:rsidP="002437E9">
      <w:pPr>
        <w:tabs>
          <w:tab w:val="left" w:pos="709"/>
        </w:tabs>
        <w:suppressAutoHyphens/>
        <w:autoSpaceDE w:val="0"/>
        <w:ind w:left="360"/>
        <w:jc w:val="both"/>
        <w:rPr>
          <w:lang w:val="en-GB"/>
        </w:rPr>
      </w:pPr>
    </w:p>
    <w:p w:rsidR="003E3F85" w:rsidRPr="006B4871" w:rsidRDefault="003E3F85" w:rsidP="003E3F85">
      <w:pPr>
        <w:pStyle w:val="ListParagraph"/>
        <w:numPr>
          <w:ilvl w:val="0"/>
          <w:numId w:val="7"/>
        </w:numPr>
        <w:contextualSpacing/>
        <w:jc w:val="both"/>
        <w:rPr>
          <w:i/>
          <w:lang w:val="en-GB" w:eastAsia="en-US"/>
        </w:rPr>
      </w:pPr>
      <w:r w:rsidRPr="006B4871">
        <w:rPr>
          <w:i/>
          <w:lang w:val="en-GB"/>
        </w:rPr>
        <w:t>Applicability</w:t>
      </w:r>
      <w:r w:rsidRPr="006B4871">
        <w:rPr>
          <w:i/>
          <w:lang w:val="en-GB" w:eastAsia="en-US"/>
        </w:rPr>
        <w:t xml:space="preserve"> of Article 2 to the Kosovo context</w:t>
      </w:r>
    </w:p>
    <w:p w:rsidR="003E3F85" w:rsidRPr="006B4871" w:rsidRDefault="003E3F85" w:rsidP="003E3F85">
      <w:pPr>
        <w:pStyle w:val="ListParagraph"/>
        <w:tabs>
          <w:tab w:val="num" w:pos="567"/>
        </w:tabs>
        <w:ind w:left="567" w:hanging="425"/>
        <w:rPr>
          <w:lang w:val="en-GB" w:eastAsia="en-US"/>
        </w:rPr>
      </w:pPr>
    </w:p>
    <w:p w:rsidR="003E3F85" w:rsidRPr="006B4871" w:rsidRDefault="003E3F85" w:rsidP="003E3F85">
      <w:pPr>
        <w:numPr>
          <w:ilvl w:val="0"/>
          <w:numId w:val="2"/>
        </w:numPr>
        <w:tabs>
          <w:tab w:val="left" w:pos="709"/>
        </w:tabs>
        <w:suppressAutoHyphens/>
        <w:autoSpaceDE w:val="0"/>
        <w:jc w:val="both"/>
        <w:rPr>
          <w:lang w:val="en-GB"/>
        </w:rPr>
      </w:pPr>
      <w:bookmarkStart w:id="73" w:name="_Ref366163783"/>
      <w:r w:rsidRPr="006B4871">
        <w:rPr>
          <w:lang w:val="en-GB"/>
        </w:rPr>
        <w:t xml:space="preserve">The Panel is conscious that </w:t>
      </w:r>
      <w:r w:rsidR="000C2822" w:rsidRPr="006B4871">
        <w:rPr>
          <w:lang w:val="en-GB"/>
        </w:rPr>
        <w:t>Mr Slobodan Vujačić, Mr Luka Petrušić and Mrs Radmila Petrušić were</w:t>
      </w:r>
      <w:r w:rsidR="00423598" w:rsidRPr="006B4871">
        <w:rPr>
          <w:lang w:val="en-GB"/>
        </w:rPr>
        <w:t xml:space="preserve"> abducted</w:t>
      </w:r>
      <w:r w:rsidR="002948A6" w:rsidRPr="006B4871">
        <w:rPr>
          <w:lang w:val="en-GB"/>
        </w:rPr>
        <w:t xml:space="preserve"> </w:t>
      </w:r>
      <w:r w:rsidR="00622236" w:rsidRPr="006B4871">
        <w:rPr>
          <w:lang w:val="en-GB"/>
        </w:rPr>
        <w:t>shortly</w:t>
      </w:r>
      <w:r w:rsidR="002948A6" w:rsidRPr="006B4871">
        <w:rPr>
          <w:lang w:val="en-GB"/>
        </w:rPr>
        <w:t xml:space="preserve"> </w:t>
      </w:r>
      <w:r w:rsidRPr="006B4871">
        <w:rPr>
          <w:lang w:val="en-GB"/>
        </w:rPr>
        <w:t>after the deployment of UNMIK in Kosovo in the aftermath of the armed conflict, when crime, violence and insecurity were rife.</w:t>
      </w:r>
      <w:bookmarkEnd w:id="73"/>
    </w:p>
    <w:p w:rsidR="003E3F85" w:rsidRPr="006B4871" w:rsidRDefault="003E3F85" w:rsidP="003E3F85">
      <w:pPr>
        <w:pStyle w:val="ListParagraph"/>
        <w:ind w:left="567"/>
        <w:contextualSpacing/>
        <w:jc w:val="both"/>
        <w:rPr>
          <w:lang w:val="en-GB" w:eastAsia="en-US"/>
        </w:rPr>
      </w:pPr>
    </w:p>
    <w:p w:rsidR="003E3F85" w:rsidRPr="006B4871" w:rsidRDefault="003E3F85" w:rsidP="003E3F85">
      <w:pPr>
        <w:numPr>
          <w:ilvl w:val="0"/>
          <w:numId w:val="2"/>
        </w:numPr>
        <w:tabs>
          <w:tab w:val="left" w:pos="709"/>
        </w:tabs>
        <w:suppressAutoHyphens/>
        <w:autoSpaceDE w:val="0"/>
        <w:jc w:val="both"/>
        <w:rPr>
          <w:lang w:val="en-GB"/>
        </w:rPr>
      </w:pPr>
      <w:r w:rsidRPr="006B4871">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6B4871" w:rsidRDefault="003E3F85" w:rsidP="003E3F85">
      <w:pPr>
        <w:pStyle w:val="ListParagraph"/>
        <w:ind w:left="567"/>
        <w:contextualSpacing/>
        <w:jc w:val="both"/>
        <w:rPr>
          <w:lang w:val="en-GB" w:eastAsia="en-US"/>
        </w:rPr>
      </w:pPr>
    </w:p>
    <w:p w:rsidR="003E3F85" w:rsidRPr="006B4871" w:rsidRDefault="003E3F85" w:rsidP="003E3F85">
      <w:pPr>
        <w:numPr>
          <w:ilvl w:val="0"/>
          <w:numId w:val="2"/>
        </w:numPr>
        <w:tabs>
          <w:tab w:val="left" w:pos="709"/>
        </w:tabs>
        <w:suppressAutoHyphens/>
        <w:autoSpaceDE w:val="0"/>
        <w:jc w:val="both"/>
        <w:rPr>
          <w:lang w:val="en-GB"/>
        </w:rPr>
      </w:pPr>
      <w:r w:rsidRPr="006B4871">
        <w:rPr>
          <w:lang w:val="en-GB"/>
        </w:rPr>
        <w:t xml:space="preserve">The </w:t>
      </w:r>
      <w:r w:rsidRPr="006B4871">
        <w:rPr>
          <w:lang w:val="en-GB" w:eastAsia="nl-BE"/>
        </w:rPr>
        <w:t>Panel</w:t>
      </w:r>
      <w:r w:rsidRPr="006B4871">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6B4871" w:rsidRDefault="003E3F85" w:rsidP="003E3F85">
      <w:pPr>
        <w:pStyle w:val="ListParagraph"/>
        <w:ind w:left="567" w:hanging="425"/>
        <w:rPr>
          <w:lang w:val="en-GB" w:eastAsia="en-US"/>
        </w:rPr>
      </w:pPr>
    </w:p>
    <w:p w:rsidR="003E3F85" w:rsidRPr="006B4871" w:rsidRDefault="003E3F85" w:rsidP="003E3F85">
      <w:pPr>
        <w:numPr>
          <w:ilvl w:val="0"/>
          <w:numId w:val="2"/>
        </w:numPr>
        <w:tabs>
          <w:tab w:val="left" w:pos="709"/>
        </w:tabs>
        <w:suppressAutoHyphens/>
        <w:autoSpaceDE w:val="0"/>
        <w:jc w:val="both"/>
        <w:rPr>
          <w:lang w:val="en-GB"/>
        </w:rPr>
      </w:pPr>
      <w:r w:rsidRPr="006B4871">
        <w:rPr>
          <w:lang w:val="en-GB"/>
        </w:rPr>
        <w:t xml:space="preserve">As regards </w:t>
      </w:r>
      <w:r w:rsidRPr="006B4871">
        <w:t>t</w:t>
      </w:r>
      <w:r w:rsidRPr="006B4871">
        <w:rPr>
          <w:lang w:val="en-GB"/>
        </w:rPr>
        <w:t xml:space="preserve">he applicability of Article 2 to UNMIK, the Panel recalls </w:t>
      </w:r>
      <w:r w:rsidRPr="006B4871">
        <w:rPr>
          <w:lang w:val="en-GB" w:eastAsia="nl-BE"/>
        </w:rPr>
        <w:t xml:space="preserve">that with the adoption of the UNMIK Regulation No. 1999/1 on 25 July 1999 UNMIK undertook an obligation to observe internationally recognised human rights standards in exercising its </w:t>
      </w:r>
      <w:r w:rsidRPr="006B4871">
        <w:rPr>
          <w:lang w:val="en-GB"/>
        </w:rPr>
        <w:t>functions</w:t>
      </w:r>
      <w:r w:rsidRPr="006B4871">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B4871">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6B4871">
        <w:rPr>
          <w:i/>
          <w:lang w:val="en-GB"/>
        </w:rPr>
        <w:t>Milogorić</w:t>
      </w:r>
      <w:proofErr w:type="spellEnd"/>
      <w:r w:rsidRPr="006B4871">
        <w:rPr>
          <w:lang w:val="en-GB"/>
        </w:rPr>
        <w:t xml:space="preserve"> </w:t>
      </w:r>
      <w:r w:rsidRPr="006B4871">
        <w:rPr>
          <w:i/>
          <w:lang w:val="en-GB"/>
        </w:rPr>
        <w:t>and Others,</w:t>
      </w:r>
      <w:r w:rsidRPr="006B4871">
        <w:rPr>
          <w:lang w:val="en-GB"/>
        </w:rPr>
        <w:t xml:space="preserve"> nos. 38/08 and others, opinion of 24 March 2011, § 44; </w:t>
      </w:r>
      <w:proofErr w:type="spellStart"/>
      <w:r w:rsidRPr="006B4871">
        <w:rPr>
          <w:i/>
          <w:lang w:val="en-GB"/>
        </w:rPr>
        <w:t>Berisha</w:t>
      </w:r>
      <w:proofErr w:type="spellEnd"/>
      <w:r w:rsidRPr="006B4871">
        <w:rPr>
          <w:i/>
          <w:lang w:val="en-GB"/>
        </w:rPr>
        <w:t xml:space="preserve"> and Others,</w:t>
      </w:r>
      <w:r w:rsidRPr="006B4871">
        <w:rPr>
          <w:lang w:val="en-GB"/>
        </w:rPr>
        <w:t xml:space="preserve"> nos. 27/08 and others, opinion of 23 February 2011,</w:t>
      </w:r>
      <w:r w:rsidRPr="006B4871">
        <w:rPr>
          <w:i/>
          <w:lang w:val="en-GB"/>
        </w:rPr>
        <w:t xml:space="preserve"> </w:t>
      </w:r>
      <w:r w:rsidRPr="006B4871">
        <w:rPr>
          <w:lang w:val="en-GB"/>
        </w:rPr>
        <w:t xml:space="preserve">§ 25; </w:t>
      </w:r>
      <w:proofErr w:type="spellStart"/>
      <w:r w:rsidRPr="006B4871">
        <w:rPr>
          <w:i/>
          <w:lang w:val="en-GB"/>
        </w:rPr>
        <w:t>Lalić</w:t>
      </w:r>
      <w:proofErr w:type="spellEnd"/>
      <w:r w:rsidRPr="006B4871">
        <w:rPr>
          <w:i/>
          <w:lang w:val="en-GB"/>
        </w:rPr>
        <w:t xml:space="preserve"> and Others</w:t>
      </w:r>
      <w:r w:rsidRPr="006B4871">
        <w:rPr>
          <w:lang w:val="en-GB"/>
        </w:rPr>
        <w:t>, nos. 09/08 and others, opinion of 9 June 2012, § 22).</w:t>
      </w:r>
    </w:p>
    <w:p w:rsidR="003E3F85" w:rsidRPr="006B4871" w:rsidRDefault="003E3F85" w:rsidP="003E3F85">
      <w:pPr>
        <w:pStyle w:val="ListParagraph"/>
        <w:rPr>
          <w:lang w:val="en-GB"/>
        </w:rPr>
      </w:pPr>
    </w:p>
    <w:p w:rsidR="003E3F85" w:rsidRPr="006B4871" w:rsidRDefault="003E3F85" w:rsidP="003E3F85">
      <w:pPr>
        <w:numPr>
          <w:ilvl w:val="0"/>
          <w:numId w:val="2"/>
        </w:numPr>
        <w:tabs>
          <w:tab w:val="left" w:pos="709"/>
        </w:tabs>
        <w:suppressAutoHyphens/>
        <w:autoSpaceDE w:val="0"/>
        <w:jc w:val="both"/>
        <w:rPr>
          <w:lang w:val="en-GB"/>
        </w:rPr>
      </w:pPr>
      <w:bookmarkStart w:id="74" w:name="_Ref366241246"/>
      <w:r w:rsidRPr="006B4871">
        <w:rPr>
          <w:lang w:val="en-GB"/>
        </w:rPr>
        <w:t xml:space="preserve">Concerning the applicability of Article 2 to situations of conflict or generalised violence, the Panel </w:t>
      </w:r>
      <w:r w:rsidRPr="006B4871">
        <w:t>recalls</w:t>
      </w:r>
      <w:r w:rsidRPr="006B4871">
        <w:rPr>
          <w:lang w:val="en-GB"/>
        </w:rPr>
        <w:t xml:space="preserve"> that the European Court of Human Rights has established the applicability of Article 2 to post-conflict situations, including in countries of the former Yugoslavia (see, among other examples, ECtHR, </w:t>
      </w:r>
      <w:r w:rsidRPr="006B4871">
        <w:rPr>
          <w:i/>
          <w:lang w:val="en-GB"/>
        </w:rPr>
        <w:t>Palić v. Bosnia and Herzegovina,</w:t>
      </w:r>
      <w:r w:rsidRPr="006B4871">
        <w:rPr>
          <w:lang w:val="en-GB"/>
        </w:rPr>
        <w:t xml:space="preserve"> cited in § </w:t>
      </w:r>
      <w:r w:rsidR="00757455">
        <w:fldChar w:fldCharType="begin"/>
      </w:r>
      <w:r w:rsidR="00757455">
        <w:instrText xml:space="preserve"> REF _Ref366239979 \r \h  \* MERGEFORMAT </w:instrText>
      </w:r>
      <w:r w:rsidR="00757455">
        <w:fldChar w:fldCharType="separate"/>
      </w:r>
      <w:r w:rsidR="009E21A4" w:rsidRPr="009E21A4">
        <w:rPr>
          <w:lang w:val="en-GB"/>
        </w:rPr>
        <w:t>67</w:t>
      </w:r>
      <w:r w:rsidR="00757455">
        <w:fldChar w:fldCharType="end"/>
      </w:r>
      <w:r w:rsidRPr="006B4871">
        <w:rPr>
          <w:lang w:val="en-GB"/>
        </w:rPr>
        <w:t xml:space="preserve"> above, and ECtHR, </w:t>
      </w:r>
      <w:proofErr w:type="spellStart"/>
      <w:r w:rsidRPr="006B4871">
        <w:rPr>
          <w:i/>
          <w:lang w:val="en-GB"/>
        </w:rPr>
        <w:t>Jularić</w:t>
      </w:r>
      <w:proofErr w:type="spellEnd"/>
      <w:r w:rsidRPr="006B4871">
        <w:rPr>
          <w:i/>
          <w:lang w:val="en-GB"/>
        </w:rPr>
        <w:t xml:space="preserve"> v. Croatia</w:t>
      </w:r>
      <w:r w:rsidRPr="006B4871">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B4871">
        <w:rPr>
          <w:i/>
          <w:lang w:val="en-GB"/>
        </w:rPr>
        <w:t>Al-</w:t>
      </w:r>
      <w:proofErr w:type="spellStart"/>
      <w:r w:rsidRPr="006B4871">
        <w:rPr>
          <w:i/>
          <w:lang w:val="en-GB"/>
        </w:rPr>
        <w:t>Skeini</w:t>
      </w:r>
      <w:proofErr w:type="spellEnd"/>
      <w:r w:rsidRPr="006B4871">
        <w:rPr>
          <w:i/>
          <w:lang w:val="en-GB"/>
        </w:rPr>
        <w:t xml:space="preserve"> and Others v. the United Kingdom</w:t>
      </w:r>
      <w:r w:rsidRPr="006B4871">
        <w:rPr>
          <w:lang w:val="en-GB"/>
        </w:rPr>
        <w:t xml:space="preserve">, cited in § </w:t>
      </w:r>
      <w:r w:rsidR="00757455">
        <w:fldChar w:fldCharType="begin"/>
      </w:r>
      <w:r w:rsidR="00757455">
        <w:instrText xml:space="preserve"> REF _Ref366240205 \r \h  \* MERGEFORMAT </w:instrText>
      </w:r>
      <w:r w:rsidR="00757455">
        <w:fldChar w:fldCharType="separate"/>
      </w:r>
      <w:r w:rsidR="009E21A4" w:rsidRPr="009E21A4">
        <w:rPr>
          <w:lang w:val="en-GB"/>
        </w:rPr>
        <w:t>71</w:t>
      </w:r>
      <w:r w:rsidR="00757455">
        <w:fldChar w:fldCharType="end"/>
      </w:r>
      <w:r w:rsidRPr="006B4871">
        <w:rPr>
          <w:lang w:val="en-GB"/>
        </w:rPr>
        <w:t xml:space="preserve"> above, at § 164; see also ECtHR, </w:t>
      </w:r>
      <w:proofErr w:type="spellStart"/>
      <w:r w:rsidRPr="006B4871">
        <w:rPr>
          <w:i/>
          <w:lang w:val="en-GB"/>
        </w:rPr>
        <w:t>Güleç</w:t>
      </w:r>
      <w:proofErr w:type="spellEnd"/>
      <w:r w:rsidRPr="006B4871">
        <w:rPr>
          <w:i/>
          <w:lang w:val="en-GB"/>
        </w:rPr>
        <w:t xml:space="preserve"> v. Turkey</w:t>
      </w:r>
      <w:r w:rsidRPr="006B4871">
        <w:rPr>
          <w:lang w:val="en-GB"/>
        </w:rPr>
        <w:t>, judgment of 27 July 1998, § 81, Reports 1998-IV; ECtHR,</w:t>
      </w:r>
      <w:r w:rsidRPr="006B4871">
        <w:rPr>
          <w:i/>
          <w:lang w:val="en-GB"/>
        </w:rPr>
        <w:t xml:space="preserve"> </w:t>
      </w:r>
      <w:proofErr w:type="spellStart"/>
      <w:r w:rsidRPr="006B4871">
        <w:rPr>
          <w:i/>
          <w:lang w:val="en-GB"/>
        </w:rPr>
        <w:t>Ergi</w:t>
      </w:r>
      <w:proofErr w:type="spellEnd"/>
      <w:r w:rsidRPr="006B4871">
        <w:rPr>
          <w:i/>
          <w:lang w:val="en-GB"/>
        </w:rPr>
        <w:t xml:space="preserve"> v. Turkey</w:t>
      </w:r>
      <w:r w:rsidRPr="006B4871">
        <w:rPr>
          <w:lang w:val="en-GB"/>
        </w:rPr>
        <w:t>, judgment of 28 July 1998, §§ 79 and 82, Reports 1998-IV; ECtHR,</w:t>
      </w:r>
      <w:r w:rsidRPr="006B4871">
        <w:rPr>
          <w:i/>
          <w:lang w:val="en-GB"/>
        </w:rPr>
        <w:t xml:space="preserve"> </w:t>
      </w:r>
      <w:proofErr w:type="spellStart"/>
      <w:r w:rsidRPr="006B4871">
        <w:rPr>
          <w:i/>
          <w:lang w:val="en-GB"/>
        </w:rPr>
        <w:t>Ahmet</w:t>
      </w:r>
      <w:proofErr w:type="spellEnd"/>
      <w:r w:rsidRPr="006B4871">
        <w:rPr>
          <w:i/>
          <w:lang w:val="en-GB"/>
        </w:rPr>
        <w:t xml:space="preserve"> </w:t>
      </w:r>
      <w:proofErr w:type="spellStart"/>
      <w:r w:rsidRPr="006B4871">
        <w:rPr>
          <w:i/>
          <w:lang w:val="en-GB"/>
        </w:rPr>
        <w:t>Özkan</w:t>
      </w:r>
      <w:proofErr w:type="spellEnd"/>
      <w:r w:rsidRPr="006B4871">
        <w:rPr>
          <w:i/>
          <w:lang w:val="en-GB"/>
        </w:rPr>
        <w:t xml:space="preserve"> and Others v. Turkey</w:t>
      </w:r>
      <w:r w:rsidRPr="006B4871">
        <w:rPr>
          <w:lang w:val="en-GB"/>
        </w:rPr>
        <w:t xml:space="preserve">, cited in § </w:t>
      </w:r>
      <w:r w:rsidR="00757455">
        <w:fldChar w:fldCharType="begin"/>
      </w:r>
      <w:r w:rsidR="00757455">
        <w:instrText xml:space="preserve"> REF _Ref366240125 \r \h  \* MERGEFORMAT </w:instrText>
      </w:r>
      <w:r w:rsidR="00757455">
        <w:fldChar w:fldCharType="separate"/>
      </w:r>
      <w:r w:rsidR="009E21A4" w:rsidRPr="009E21A4">
        <w:rPr>
          <w:lang w:val="en-GB"/>
        </w:rPr>
        <w:t>66</w:t>
      </w:r>
      <w:r w:rsidR="00757455">
        <w:fldChar w:fldCharType="end"/>
      </w:r>
      <w:r w:rsidRPr="006B4871">
        <w:rPr>
          <w:lang w:val="en-GB"/>
        </w:rPr>
        <w:t xml:space="preserve"> above, at §§ 85-90, 309-320 and 326-330;</w:t>
      </w:r>
      <w:r w:rsidRPr="006B4871">
        <w:rPr>
          <w:i/>
          <w:lang w:val="en-GB"/>
        </w:rPr>
        <w:t xml:space="preserve"> </w:t>
      </w:r>
      <w:r w:rsidR="00B41BE6" w:rsidRPr="006B4871">
        <w:rPr>
          <w:lang w:val="en-GB"/>
        </w:rPr>
        <w:t xml:space="preserve">ECtHR, </w:t>
      </w:r>
      <w:proofErr w:type="spellStart"/>
      <w:r w:rsidRPr="006B4871">
        <w:rPr>
          <w:i/>
          <w:lang w:val="en-GB"/>
        </w:rPr>
        <w:t>Isayeva</w:t>
      </w:r>
      <w:proofErr w:type="spellEnd"/>
      <w:r w:rsidRPr="006B4871">
        <w:rPr>
          <w:i/>
          <w:lang w:val="en-GB"/>
        </w:rPr>
        <w:t xml:space="preserve"> v. Russia</w:t>
      </w:r>
      <w:r w:rsidRPr="006B4871">
        <w:rPr>
          <w:lang w:val="en-GB"/>
        </w:rPr>
        <w:t xml:space="preserve">, cited in § </w:t>
      </w:r>
      <w:r w:rsidR="00757455">
        <w:lastRenderedPageBreak/>
        <w:fldChar w:fldCharType="begin"/>
      </w:r>
      <w:r w:rsidR="00757455">
        <w:instrText xml:space="preserve"> REF _Ref366240125 \r \h  \* MERGEFORMAT </w:instrText>
      </w:r>
      <w:r w:rsidR="00757455">
        <w:fldChar w:fldCharType="separate"/>
      </w:r>
      <w:r w:rsidR="009E21A4" w:rsidRPr="009E21A4">
        <w:rPr>
          <w:lang w:val="en-GB"/>
        </w:rPr>
        <w:t>66</w:t>
      </w:r>
      <w:r w:rsidR="00757455">
        <w:fldChar w:fldCharType="end"/>
      </w:r>
      <w:r w:rsidRPr="006B4871">
        <w:rPr>
          <w:lang w:val="en-GB"/>
        </w:rPr>
        <w:t xml:space="preserve"> above, at §§ 180 and 210; ECtHR, </w:t>
      </w:r>
      <w:proofErr w:type="spellStart"/>
      <w:r w:rsidRPr="006B4871">
        <w:rPr>
          <w:i/>
          <w:lang w:val="en-GB"/>
        </w:rPr>
        <w:t>Kanlibaş</w:t>
      </w:r>
      <w:proofErr w:type="spellEnd"/>
      <w:r w:rsidRPr="006B4871">
        <w:rPr>
          <w:i/>
          <w:lang w:val="en-GB"/>
        </w:rPr>
        <w:t xml:space="preserve"> v. Turkey</w:t>
      </w:r>
      <w:r w:rsidRPr="006B4871">
        <w:rPr>
          <w:lang w:val="en-GB"/>
        </w:rPr>
        <w:t>, no. 32444/96, judgment of 8 December 2005, §§ 39-51).</w:t>
      </w:r>
      <w:bookmarkEnd w:id="74"/>
      <w:r w:rsidRPr="006B4871">
        <w:rPr>
          <w:lang w:val="en-GB"/>
        </w:rPr>
        <w:t xml:space="preserve"> </w:t>
      </w:r>
    </w:p>
    <w:p w:rsidR="003E3F85" w:rsidRPr="006B4871" w:rsidRDefault="003E3F85" w:rsidP="003E3F85">
      <w:pPr>
        <w:pStyle w:val="ListParagraph"/>
        <w:suppressAutoHyphens w:val="0"/>
        <w:ind w:left="567"/>
        <w:contextualSpacing/>
        <w:jc w:val="both"/>
        <w:rPr>
          <w:lang w:val="en-GB" w:eastAsia="en-US"/>
        </w:rPr>
      </w:pPr>
    </w:p>
    <w:p w:rsidR="003E3F85" w:rsidRPr="006B4871" w:rsidRDefault="003E3F85" w:rsidP="003E3F85">
      <w:pPr>
        <w:numPr>
          <w:ilvl w:val="0"/>
          <w:numId w:val="2"/>
        </w:numPr>
        <w:tabs>
          <w:tab w:val="left" w:pos="709"/>
        </w:tabs>
        <w:suppressAutoHyphens/>
        <w:autoSpaceDE w:val="0"/>
        <w:jc w:val="both"/>
        <w:rPr>
          <w:lang w:val="en-GB"/>
        </w:rPr>
      </w:pPr>
      <w:bookmarkStart w:id="75" w:name="_Ref366241459"/>
      <w:r w:rsidRPr="006B4871">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6B4871">
        <w:t>may</w:t>
      </w:r>
      <w:r w:rsidRPr="006B4871">
        <w:rPr>
          <w:lang w:val="en-GB"/>
        </w:rPr>
        <w:t xml:space="preserve"> compel the use of less effective measures of investigation or may cause an investigation to be delayed” (see, ECtHR [GC], </w:t>
      </w:r>
      <w:r w:rsidRPr="006B4871">
        <w:rPr>
          <w:i/>
          <w:lang w:val="en-GB"/>
        </w:rPr>
        <w:t>Al-</w:t>
      </w:r>
      <w:proofErr w:type="spellStart"/>
      <w:r w:rsidRPr="006B4871">
        <w:rPr>
          <w:i/>
          <w:lang w:val="en-GB"/>
        </w:rPr>
        <w:t>Skeini</w:t>
      </w:r>
      <w:proofErr w:type="spellEnd"/>
      <w:r w:rsidRPr="006B4871">
        <w:rPr>
          <w:i/>
          <w:lang w:val="en-GB"/>
        </w:rPr>
        <w:t xml:space="preserve"> and Others v. the United Kingdom, </w:t>
      </w:r>
      <w:r w:rsidRPr="006B4871">
        <w:rPr>
          <w:lang w:val="en-GB"/>
        </w:rPr>
        <w:t>cited above, at §164;</w:t>
      </w:r>
      <w:r w:rsidRPr="006B4871">
        <w:rPr>
          <w:i/>
          <w:lang w:val="en-GB"/>
        </w:rPr>
        <w:t xml:space="preserve"> </w:t>
      </w:r>
      <w:r w:rsidRPr="006B4871">
        <w:rPr>
          <w:lang w:val="en-GB"/>
        </w:rPr>
        <w:t>ECtHR,</w:t>
      </w:r>
      <w:r w:rsidRPr="006B4871">
        <w:rPr>
          <w:i/>
          <w:lang w:val="en-GB"/>
        </w:rPr>
        <w:t xml:space="preserve"> Bazorkina v. Russia</w:t>
      </w:r>
      <w:r w:rsidRPr="006B4871">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B4871">
        <w:rPr>
          <w:i/>
          <w:lang w:val="en-GB"/>
        </w:rPr>
        <w:t>Kaya v. Turkey</w:t>
      </w:r>
      <w:r w:rsidRPr="006B4871">
        <w:rPr>
          <w:lang w:val="en-GB"/>
        </w:rPr>
        <w:t xml:space="preserve">, cited in § </w:t>
      </w:r>
      <w:r w:rsidR="00757455">
        <w:fldChar w:fldCharType="begin"/>
      </w:r>
      <w:r w:rsidR="00757455">
        <w:instrText xml:space="preserve"> REF _Ref366239860 \r \h  \* MERGEFORMAT </w:instrText>
      </w:r>
      <w:r w:rsidR="00757455">
        <w:fldChar w:fldCharType="separate"/>
      </w:r>
      <w:r w:rsidR="009E21A4" w:rsidRPr="009E21A4">
        <w:rPr>
          <w:lang w:val="en-GB"/>
        </w:rPr>
        <w:t>64</w:t>
      </w:r>
      <w:r w:rsidR="00757455">
        <w:fldChar w:fldCharType="end"/>
      </w:r>
      <w:r w:rsidRPr="006B4871">
        <w:rPr>
          <w:lang w:val="en-GB"/>
        </w:rPr>
        <w:t xml:space="preserve"> above, at §§ 86</w:t>
      </w:r>
      <w:r w:rsidRPr="006B4871">
        <w:rPr>
          <w:lang w:val="en-GB"/>
        </w:rPr>
        <w:noBreakHyphen/>
        <w:t xml:space="preserve">92; ECtHR, </w:t>
      </w:r>
      <w:proofErr w:type="spellStart"/>
      <w:r w:rsidRPr="006B4871">
        <w:rPr>
          <w:i/>
          <w:lang w:val="en-GB"/>
        </w:rPr>
        <w:t>Ergi</w:t>
      </w:r>
      <w:proofErr w:type="spellEnd"/>
      <w:r w:rsidRPr="006B4871">
        <w:rPr>
          <w:i/>
          <w:lang w:val="en-GB"/>
        </w:rPr>
        <w:t xml:space="preserve"> v Turkey, </w:t>
      </w:r>
      <w:r w:rsidRPr="006B4871">
        <w:rPr>
          <w:lang w:val="en-GB"/>
        </w:rPr>
        <w:t xml:space="preserve">cited above, at §§ 82-85; ECtHR [GC], </w:t>
      </w:r>
      <w:proofErr w:type="spellStart"/>
      <w:r w:rsidRPr="006B4871">
        <w:rPr>
          <w:i/>
          <w:lang w:val="en-GB"/>
        </w:rPr>
        <w:t>Tanrıkulu</w:t>
      </w:r>
      <w:proofErr w:type="spellEnd"/>
      <w:r w:rsidRPr="006B4871">
        <w:rPr>
          <w:i/>
          <w:lang w:val="en-GB"/>
        </w:rPr>
        <w:t xml:space="preserve"> v. Turkey</w:t>
      </w:r>
      <w:r w:rsidRPr="006B4871">
        <w:rPr>
          <w:lang w:val="en-GB"/>
        </w:rPr>
        <w:t xml:space="preserve">, no. 23763/94, judgment of 8 July 1999, §§ 101-110, ECHR 1999-IV; ECtHR, </w:t>
      </w:r>
      <w:proofErr w:type="spellStart"/>
      <w:r w:rsidRPr="006B4871">
        <w:rPr>
          <w:i/>
          <w:lang w:val="en-GB"/>
        </w:rPr>
        <w:t>Khashiyev</w:t>
      </w:r>
      <w:proofErr w:type="spellEnd"/>
      <w:r w:rsidRPr="006B4871">
        <w:rPr>
          <w:i/>
          <w:lang w:val="en-GB"/>
        </w:rPr>
        <w:t xml:space="preserve"> and </w:t>
      </w:r>
      <w:proofErr w:type="spellStart"/>
      <w:r w:rsidRPr="006B4871">
        <w:rPr>
          <w:i/>
          <w:lang w:val="en-GB"/>
        </w:rPr>
        <w:t>Akayeva</w:t>
      </w:r>
      <w:proofErr w:type="spellEnd"/>
      <w:r w:rsidRPr="006B4871">
        <w:rPr>
          <w:i/>
          <w:lang w:val="en-GB"/>
        </w:rPr>
        <w:t xml:space="preserve"> v. Russia</w:t>
      </w:r>
      <w:r w:rsidRPr="006B4871">
        <w:rPr>
          <w:lang w:val="en-GB"/>
        </w:rPr>
        <w:t xml:space="preserve">, nos. 57942/00 and 57945/00, judgment of 24 February 2005, §§ 156-166; ECtHR, </w:t>
      </w:r>
      <w:proofErr w:type="spellStart"/>
      <w:r w:rsidRPr="006B4871">
        <w:rPr>
          <w:i/>
          <w:lang w:val="en-GB"/>
        </w:rPr>
        <w:t>Isayeva</w:t>
      </w:r>
      <w:proofErr w:type="spellEnd"/>
      <w:r w:rsidRPr="006B4871">
        <w:rPr>
          <w:i/>
          <w:lang w:val="en-GB"/>
        </w:rPr>
        <w:t xml:space="preserve"> v. Russia</w:t>
      </w:r>
      <w:r w:rsidRPr="006B4871">
        <w:rPr>
          <w:lang w:val="en-GB"/>
        </w:rPr>
        <w:t>, cited above, at §§ 215</w:t>
      </w:r>
      <w:r w:rsidRPr="006B4871">
        <w:rPr>
          <w:lang w:val="en-GB"/>
        </w:rPr>
        <w:noBreakHyphen/>
        <w:t xml:space="preserve">224; ECtHR, </w:t>
      </w:r>
      <w:proofErr w:type="spellStart"/>
      <w:r w:rsidRPr="006B4871">
        <w:rPr>
          <w:i/>
          <w:lang w:val="en-GB"/>
        </w:rPr>
        <w:t>Musayev</w:t>
      </w:r>
      <w:proofErr w:type="spellEnd"/>
      <w:r w:rsidRPr="006B4871">
        <w:rPr>
          <w:i/>
          <w:lang w:val="en-GB"/>
        </w:rPr>
        <w:t xml:space="preserve"> and Others v. Russia</w:t>
      </w:r>
      <w:r w:rsidRPr="006B4871">
        <w:rPr>
          <w:lang w:val="en-GB"/>
        </w:rPr>
        <w:t>, nos. 57941/00 and others, judgment of 26 July 2007, §§ 158-165).</w:t>
      </w:r>
      <w:bookmarkEnd w:id="75"/>
      <w:r w:rsidRPr="006B4871">
        <w:rPr>
          <w:lang w:val="en-GB"/>
        </w:rPr>
        <w:t xml:space="preserve"> </w:t>
      </w:r>
    </w:p>
    <w:p w:rsidR="003E3F85" w:rsidRPr="006B4871" w:rsidRDefault="003E3F85" w:rsidP="003E3F85">
      <w:pPr>
        <w:pStyle w:val="ListParagraph"/>
        <w:suppressAutoHyphens w:val="0"/>
        <w:ind w:left="567"/>
        <w:contextualSpacing/>
        <w:jc w:val="both"/>
        <w:rPr>
          <w:lang w:val="en-GB" w:eastAsia="en-US"/>
        </w:rPr>
      </w:pPr>
    </w:p>
    <w:p w:rsidR="003E3F85" w:rsidRPr="006B4871" w:rsidRDefault="003E3F85" w:rsidP="003E3F85">
      <w:pPr>
        <w:numPr>
          <w:ilvl w:val="0"/>
          <w:numId w:val="2"/>
        </w:numPr>
        <w:tabs>
          <w:tab w:val="left" w:pos="709"/>
        </w:tabs>
        <w:suppressAutoHyphens/>
        <w:autoSpaceDE w:val="0"/>
        <w:jc w:val="both"/>
        <w:rPr>
          <w:lang w:val="en-GB"/>
        </w:rPr>
      </w:pPr>
      <w:bookmarkStart w:id="76" w:name="_Ref404685440"/>
      <w:r w:rsidRPr="006B4871">
        <w:rPr>
          <w:lang w:val="en-GB"/>
        </w:rPr>
        <w:t xml:space="preserve">Similarly, the HRC has held that the right to life, including its procedural guarantees, shall be </w:t>
      </w:r>
      <w:r w:rsidRPr="006B4871">
        <w:t>considered</w:t>
      </w:r>
      <w:r w:rsidRPr="006B4871">
        <w:rPr>
          <w:lang w:val="en-GB"/>
        </w:rPr>
        <w:t xml:space="preserve"> as the supreme right from which no derogation is permitted even in time of public emergency which threatens the life of the nation (see, HRC, General Comment No. 6, cited in § </w:t>
      </w:r>
      <w:r w:rsidR="00757455">
        <w:fldChar w:fldCharType="begin"/>
      </w:r>
      <w:r w:rsidR="00757455">
        <w:instrText xml:space="preserve"> REF _Ref366241114 \r \h  \* MERGEFORMAT </w:instrText>
      </w:r>
      <w:r w:rsidR="00757455">
        <w:fldChar w:fldCharType="separate"/>
      </w:r>
      <w:r w:rsidR="009E21A4" w:rsidRPr="009E21A4">
        <w:rPr>
          <w:lang w:val="en-GB"/>
        </w:rPr>
        <w:t>58</w:t>
      </w:r>
      <w:r w:rsidR="00757455">
        <w:fldChar w:fldCharType="end"/>
      </w:r>
      <w:r w:rsidRPr="006B4871">
        <w:rPr>
          <w:lang w:val="en-GB"/>
        </w:rPr>
        <w:t xml:space="preserve"> above, at § 1; HRC, </w:t>
      </w:r>
      <w:r w:rsidRPr="006B4871">
        <w:rPr>
          <w:i/>
          <w:lang w:val="en-GB"/>
        </w:rPr>
        <w:t>Abubakar Amirov and Aïzan Amirova v. Russi</w:t>
      </w:r>
      <w:r w:rsidRPr="006B4871">
        <w:rPr>
          <w:lang w:val="en-GB"/>
        </w:rPr>
        <w:t>a</w:t>
      </w:r>
      <w:r w:rsidRPr="006B4871">
        <w:rPr>
          <w:i/>
          <w:lang w:val="en-GB"/>
        </w:rPr>
        <w:t>n Federation</w:t>
      </w:r>
      <w:r w:rsidRPr="006B4871">
        <w:rPr>
          <w:lang w:val="en-GB"/>
        </w:rPr>
        <w:t xml:space="preserve">, communication no. 1447/2006, views of 22 April 2009, § 11.2, </w:t>
      </w:r>
      <w:r w:rsidRPr="006B4871">
        <w:rPr>
          <w:bCs/>
          <w:lang w:val="en-GB"/>
        </w:rPr>
        <w:t>CCPR/C/95/D/1447/2006</w:t>
      </w:r>
      <w:r w:rsidRPr="006B4871">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77" w:name="_Ref343611663"/>
      <w:bookmarkEnd w:id="76"/>
    </w:p>
    <w:p w:rsidR="003E3F85" w:rsidRPr="006B4871" w:rsidRDefault="003E3F85" w:rsidP="003E3F85">
      <w:pPr>
        <w:pStyle w:val="ListParagraph"/>
        <w:rPr>
          <w:lang w:val="en-GB"/>
        </w:rPr>
      </w:pPr>
    </w:p>
    <w:p w:rsidR="003E3F85" w:rsidRPr="006B4871" w:rsidRDefault="003E3F85" w:rsidP="003E3F85">
      <w:pPr>
        <w:numPr>
          <w:ilvl w:val="0"/>
          <w:numId w:val="2"/>
        </w:numPr>
        <w:tabs>
          <w:tab w:val="left" w:pos="709"/>
        </w:tabs>
        <w:suppressAutoHyphens/>
        <w:autoSpaceDE w:val="0"/>
        <w:jc w:val="both"/>
        <w:rPr>
          <w:lang w:val="en-GB"/>
        </w:rPr>
      </w:pPr>
      <w:r w:rsidRPr="006B4871">
        <w:rPr>
          <w:lang w:val="en-GB"/>
        </w:rPr>
        <w:t xml:space="preserve">The Panel appreciates the difficulties encountered by UNMIK during the first phase of its </w:t>
      </w:r>
      <w:r w:rsidRPr="006B4871">
        <w:t>deployment</w:t>
      </w:r>
      <w:r w:rsidRPr="006B4871">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B4871">
        <w:rPr>
          <w:i/>
          <w:lang w:val="en-GB"/>
        </w:rPr>
        <w:t>mutatis mutandis</w:t>
      </w:r>
      <w:r w:rsidRPr="006B4871">
        <w:rPr>
          <w:lang w:val="en-GB"/>
        </w:rPr>
        <w:t xml:space="preserve">, ECtHR, </w:t>
      </w:r>
      <w:r w:rsidRPr="006B4871">
        <w:rPr>
          <w:i/>
          <w:lang w:val="en-GB"/>
        </w:rPr>
        <w:t>R.R. and Others v. Hungary</w:t>
      </w:r>
      <w:r w:rsidRPr="006B4871">
        <w:rPr>
          <w:lang w:val="en-GB"/>
        </w:rPr>
        <w:t xml:space="preserve">, no. 19400/11, judgment of 4 December 2012, §§ 28-32), as well as to consider the special vulnerability of displaced persons in post-conflict situations (see ECtHR [GC], </w:t>
      </w:r>
      <w:proofErr w:type="spellStart"/>
      <w:r w:rsidRPr="006B4871">
        <w:rPr>
          <w:i/>
          <w:lang w:val="en-GB"/>
        </w:rPr>
        <w:t>Sargsyan</w:t>
      </w:r>
      <w:proofErr w:type="spellEnd"/>
      <w:r w:rsidRPr="006B4871">
        <w:rPr>
          <w:i/>
          <w:lang w:val="en-GB"/>
        </w:rPr>
        <w:t xml:space="preserve"> v. Azerbaijan, </w:t>
      </w:r>
      <w:r w:rsidRPr="006B4871">
        <w:rPr>
          <w:lang w:val="en-GB"/>
        </w:rPr>
        <w:t xml:space="preserve">no. 40167/06, decision of 14 December 2011, § 145; and ECtHR [GC], </w:t>
      </w:r>
      <w:proofErr w:type="spellStart"/>
      <w:r w:rsidRPr="006B4871">
        <w:rPr>
          <w:i/>
          <w:lang w:val="en-GB"/>
        </w:rPr>
        <w:t>Chiragov</w:t>
      </w:r>
      <w:proofErr w:type="spellEnd"/>
      <w:r w:rsidRPr="006B4871">
        <w:rPr>
          <w:i/>
          <w:lang w:val="en-GB"/>
        </w:rPr>
        <w:t xml:space="preserve"> and Others v. Armenia</w:t>
      </w:r>
      <w:r w:rsidRPr="006B4871">
        <w:rPr>
          <w:lang w:val="en-GB"/>
        </w:rPr>
        <w:t xml:space="preserve">, no. 13216/05, decision of 14 December 2011, § 146). While </w:t>
      </w:r>
      <w:r w:rsidRPr="006B4871">
        <w:rPr>
          <w:lang w:val="en-GB"/>
        </w:rPr>
        <w:lastRenderedPageBreak/>
        <w:t xml:space="preserve">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757455">
        <w:fldChar w:fldCharType="begin"/>
      </w:r>
      <w:r w:rsidR="00757455">
        <w:instrText xml:space="preserve"> REF _Ref346123767 \r \h  \* MERGEFORMAT </w:instrText>
      </w:r>
      <w:r w:rsidR="00757455">
        <w:fldChar w:fldCharType="separate"/>
      </w:r>
      <w:r w:rsidR="009E21A4" w:rsidRPr="009E21A4">
        <w:rPr>
          <w:lang w:val="en-GB"/>
        </w:rPr>
        <w:t>15</w:t>
      </w:r>
      <w:r w:rsidR="00757455">
        <w:fldChar w:fldCharType="end"/>
      </w:r>
      <w:r w:rsidRPr="006B4871">
        <w:rPr>
          <w:lang w:val="en-GB"/>
        </w:rPr>
        <w:t xml:space="preserve"> above).</w:t>
      </w:r>
      <w:bookmarkEnd w:id="77"/>
    </w:p>
    <w:p w:rsidR="003E3F85" w:rsidRPr="006B4871" w:rsidRDefault="003E3F85" w:rsidP="003E3F85">
      <w:pPr>
        <w:pStyle w:val="ListParagraph"/>
        <w:suppressAutoHyphens w:val="0"/>
        <w:ind w:left="567"/>
        <w:contextualSpacing/>
        <w:jc w:val="both"/>
        <w:rPr>
          <w:lang w:val="en-GB" w:eastAsia="en-US"/>
        </w:rPr>
      </w:pPr>
    </w:p>
    <w:p w:rsidR="003E3F85" w:rsidRPr="006B4871" w:rsidRDefault="003E3F85" w:rsidP="003E3F85">
      <w:pPr>
        <w:numPr>
          <w:ilvl w:val="0"/>
          <w:numId w:val="2"/>
        </w:numPr>
        <w:tabs>
          <w:tab w:val="left" w:pos="709"/>
        </w:tabs>
        <w:suppressAutoHyphens/>
        <w:autoSpaceDE w:val="0"/>
        <w:jc w:val="both"/>
        <w:rPr>
          <w:rStyle w:val="sb8d990e2"/>
          <w:lang w:val="en-GB"/>
        </w:rPr>
      </w:pPr>
      <w:bookmarkStart w:id="78" w:name="_Ref366163789"/>
      <w:r w:rsidRPr="006B4871">
        <w:rPr>
          <w:rStyle w:val="sb8d990e2"/>
          <w:lang w:val="en-GB"/>
        </w:rPr>
        <w:t xml:space="preserve">The Panel </w:t>
      </w:r>
      <w:r w:rsidRPr="006B4871">
        <w:t>further</w:t>
      </w:r>
      <w:r w:rsidRPr="006B4871">
        <w:rPr>
          <w:rStyle w:val="sb8d990e2"/>
          <w:lang w:val="en-GB"/>
        </w:rPr>
        <w:t xml:space="preserve"> notes that its task is not to review relevant practices or alleged obstacles to the conduct of effective investigations </w:t>
      </w:r>
      <w:r w:rsidRPr="006B4871">
        <w:rPr>
          <w:rStyle w:val="s6b621b36"/>
          <w:i/>
          <w:lang w:val="en-GB"/>
        </w:rPr>
        <w:t xml:space="preserve">in </w:t>
      </w:r>
      <w:r w:rsidRPr="006B4871">
        <w:rPr>
          <w:rStyle w:val="wordhighlighted"/>
          <w:i/>
          <w:lang w:val="en-GB"/>
        </w:rPr>
        <w:t>abstracto</w:t>
      </w:r>
      <w:r w:rsidRPr="006B4871">
        <w:rPr>
          <w:rStyle w:val="sb8d990e2"/>
          <w:lang w:val="en-GB"/>
        </w:rPr>
        <w:t>, but only in relation to their specific </w:t>
      </w:r>
      <w:r w:rsidRPr="006B4871">
        <w:t>application</w:t>
      </w:r>
      <w:r w:rsidRPr="006B4871">
        <w:rPr>
          <w:rStyle w:val="sb8d990e2"/>
          <w:lang w:val="en-GB"/>
        </w:rPr>
        <w:t xml:space="preserve"> to the particular circumstances of a situation subject of a complaint before it (see, ECtHR, </w:t>
      </w:r>
      <w:r w:rsidRPr="006B4871">
        <w:rPr>
          <w:rStyle w:val="s6b621b36"/>
          <w:i/>
          <w:lang w:val="en-GB"/>
        </w:rPr>
        <w:t>Brogan and Others v. the United Kingdom</w:t>
      </w:r>
      <w:r w:rsidRPr="006B4871">
        <w:rPr>
          <w:rStyle w:val="sb8d990e2"/>
          <w:lang w:val="en-GB"/>
        </w:rPr>
        <w:t xml:space="preserve">, </w:t>
      </w:r>
      <w:r w:rsidRPr="006B4871">
        <w:rPr>
          <w:rStyle w:val="column01"/>
          <w:lang w:val="en-GB"/>
        </w:rPr>
        <w:t>judgment of</w:t>
      </w:r>
      <w:r w:rsidRPr="006B4871">
        <w:rPr>
          <w:rStyle w:val="sb8d990e2"/>
          <w:lang w:val="en-GB"/>
        </w:rPr>
        <w:t xml:space="preserve"> 29 November 1988,</w:t>
      </w:r>
      <w:r w:rsidRPr="006B4871">
        <w:rPr>
          <w:lang w:val="en-GB"/>
        </w:rPr>
        <w:t xml:space="preserve"> </w:t>
      </w:r>
      <w:r w:rsidRPr="006B4871">
        <w:rPr>
          <w:rStyle w:val="sb8d990e2"/>
          <w:lang w:val="en-GB"/>
        </w:rPr>
        <w:t xml:space="preserve">§ 53, Series A no. 145-B). </w:t>
      </w:r>
      <w:r w:rsidRPr="006B4871">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6B4871">
        <w:rPr>
          <w:rStyle w:val="sb8d990e2"/>
          <w:lang w:val="en-GB"/>
        </w:rPr>
        <w:t>For these reasons, the Panel considers that it will establish with regard to each case if all reasonable steps were taken to conduct an effective investigation as prescribed by Article 2,</w:t>
      </w:r>
      <w:r w:rsidRPr="006B4871">
        <w:rPr>
          <w:lang w:val="en-GB"/>
        </w:rPr>
        <w:t xml:space="preserve"> </w:t>
      </w:r>
      <w:r w:rsidRPr="006B4871">
        <w:rPr>
          <w:rStyle w:val="sb8d990e2"/>
          <w:lang w:val="en-GB"/>
        </w:rPr>
        <w:t>having regard to the realities of the investigative work in Kosovo.</w:t>
      </w:r>
      <w:bookmarkEnd w:id="78"/>
    </w:p>
    <w:p w:rsidR="003E3F85" w:rsidRPr="006B4871" w:rsidRDefault="003E3F85" w:rsidP="003E3F85">
      <w:pPr>
        <w:pStyle w:val="ListParagraph"/>
        <w:rPr>
          <w:rStyle w:val="sb8d990e2"/>
          <w:lang w:val="en-GB" w:eastAsia="en-US"/>
        </w:rPr>
      </w:pPr>
    </w:p>
    <w:p w:rsidR="003E3F85" w:rsidRPr="006B4871" w:rsidRDefault="003E3F85" w:rsidP="00B41BE6">
      <w:pPr>
        <w:numPr>
          <w:ilvl w:val="0"/>
          <w:numId w:val="2"/>
        </w:numPr>
        <w:tabs>
          <w:tab w:val="left" w:pos="709"/>
        </w:tabs>
        <w:suppressAutoHyphens/>
        <w:autoSpaceDE w:val="0"/>
        <w:jc w:val="both"/>
        <w:rPr>
          <w:lang w:eastAsia="nl-NL"/>
        </w:rPr>
      </w:pPr>
      <w:r w:rsidRPr="006B4871">
        <w:t xml:space="preserve">Lastly, in response to the SRSG’s objection that Article 2 must be interpreted in a way which </w:t>
      </w:r>
      <w:r w:rsidRPr="006B4871">
        <w:rPr>
          <w:lang w:val="en-GB"/>
        </w:rPr>
        <w:t>does</w:t>
      </w:r>
      <w:r w:rsidRPr="006B4871">
        <w:t xml:space="preserve"> not </w:t>
      </w:r>
      <w:r w:rsidRPr="006B4871">
        <w:rPr>
          <w:lang w:val="en-GB"/>
        </w:rPr>
        <w:t>impose</w:t>
      </w:r>
      <w:r w:rsidRPr="006B4871">
        <w:t xml:space="preserve"> an impossible or disproportionate burden on the authorities, e</w:t>
      </w:r>
      <w:r w:rsidR="00622236" w:rsidRPr="006B4871">
        <w:t xml:space="preserve">ither in the context of </w:t>
      </w:r>
      <w:proofErr w:type="spellStart"/>
      <w:r w:rsidR="00622236" w:rsidRPr="006B4871">
        <w:t>policin</w:t>
      </w:r>
      <w:proofErr w:type="spellEnd"/>
      <w:r w:rsidRPr="006B4871">
        <w:rPr>
          <w:lang w:val="en-GB"/>
        </w:rPr>
        <w:t>g</w:t>
      </w:r>
      <w:r w:rsidRPr="006B4871">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6B4871">
        <w:rPr>
          <w:i/>
        </w:rPr>
        <w:t>Palić v. Bosnia and Herzegovina,</w:t>
      </w:r>
      <w:r w:rsidRPr="006B4871">
        <w:t xml:space="preserve"> cited in § </w:t>
      </w:r>
      <w:r w:rsidR="00757455">
        <w:fldChar w:fldCharType="begin"/>
      </w:r>
      <w:r w:rsidR="00757455">
        <w:instrText xml:space="preserve"> REF _Ref366239979 \r \h  \* MERGEFORMAT </w:instrText>
      </w:r>
      <w:r w:rsidR="00757455">
        <w:fldChar w:fldCharType="separate"/>
      </w:r>
      <w:r w:rsidR="009E21A4">
        <w:t>67</w:t>
      </w:r>
      <w:r w:rsidR="00757455">
        <w:fldChar w:fldCharType="end"/>
      </w:r>
      <w:r w:rsidRPr="006B4871">
        <w:t xml:space="preserve"> above, at § 70; </w:t>
      </w:r>
      <w:r w:rsidR="00B41BE6" w:rsidRPr="006B4871">
        <w:t xml:space="preserve">ECtHR, </w:t>
      </w:r>
      <w:proofErr w:type="spellStart"/>
      <w:r w:rsidRPr="006B4871">
        <w:rPr>
          <w:i/>
        </w:rPr>
        <w:t>Brecknell</w:t>
      </w:r>
      <w:proofErr w:type="spellEnd"/>
      <w:r w:rsidRPr="006B4871">
        <w:rPr>
          <w:i/>
        </w:rPr>
        <w:t xml:space="preserve"> v. The United Kingdom,</w:t>
      </w:r>
      <w:r w:rsidRPr="006B4871">
        <w:t xml:space="preserve"> no. 32457/04, judgment of 27 November 2007, § 62).</w:t>
      </w:r>
    </w:p>
    <w:p w:rsidR="00CE4484" w:rsidRPr="006B4871" w:rsidRDefault="00CE4484" w:rsidP="00CE4484">
      <w:pPr>
        <w:pStyle w:val="ListParagraph"/>
        <w:rPr>
          <w:lang w:eastAsia="nl-NL"/>
        </w:rPr>
      </w:pPr>
    </w:p>
    <w:p w:rsidR="00CE4484" w:rsidRPr="006B4871" w:rsidRDefault="00CE4484" w:rsidP="00CE4484">
      <w:pPr>
        <w:numPr>
          <w:ilvl w:val="0"/>
          <w:numId w:val="2"/>
        </w:numPr>
        <w:contextualSpacing/>
        <w:jc w:val="both"/>
        <w:rPr>
          <w:rStyle w:val="sb8d990e2"/>
          <w:color w:val="000000" w:themeColor="text1"/>
          <w:lang w:val="en-GB"/>
        </w:rPr>
      </w:pPr>
      <w:bookmarkStart w:id="79" w:name="_Ref403834230"/>
      <w:r w:rsidRPr="006B4871">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6B4871">
        <w:rPr>
          <w:rStyle w:val="sb8d990e2"/>
          <w:i/>
          <w:color w:val="000000" w:themeColor="text1"/>
          <w:lang w:val="en-GB"/>
        </w:rPr>
        <w:t>Aslakhanova and Others v. Russia</w:t>
      </w:r>
      <w:r w:rsidRPr="006B4871">
        <w:rPr>
          <w:rStyle w:val="sb8d990e2"/>
          <w:color w:val="000000" w:themeColor="text1"/>
          <w:lang w:val="en-GB"/>
        </w:rPr>
        <w:t xml:space="preserve">, cited in § </w:t>
      </w:r>
      <w:r w:rsidR="00757455">
        <w:fldChar w:fldCharType="begin"/>
      </w:r>
      <w:r w:rsidR="00757455">
        <w:instrText xml:space="preserve"> REF _Ref373950745 \r \h  \* MERGEFORMAT </w:instrText>
      </w:r>
      <w:r w:rsidR="00757455">
        <w:fldChar w:fldCharType="separate"/>
      </w:r>
      <w:r w:rsidR="009E21A4" w:rsidRPr="009E21A4">
        <w:rPr>
          <w:rStyle w:val="sb8d990e2"/>
          <w:color w:val="000000" w:themeColor="text1"/>
          <w:lang w:val="en-GB"/>
        </w:rPr>
        <w:t>70</w:t>
      </w:r>
      <w:r w:rsidR="00757455">
        <w:fldChar w:fldCharType="end"/>
      </w:r>
      <w:r w:rsidRPr="006B4871">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9"/>
    </w:p>
    <w:p w:rsidR="003E3F85" w:rsidRPr="006B4871" w:rsidRDefault="003E3F85" w:rsidP="00414BC8">
      <w:pPr>
        <w:rPr>
          <w:rStyle w:val="sb8d990e2"/>
          <w:lang w:eastAsia="nl-NL"/>
        </w:rPr>
      </w:pPr>
    </w:p>
    <w:p w:rsidR="003E3F85" w:rsidRPr="006B4871" w:rsidRDefault="003E3F85" w:rsidP="003E3F85">
      <w:pPr>
        <w:pStyle w:val="ListParagraph"/>
        <w:numPr>
          <w:ilvl w:val="0"/>
          <w:numId w:val="7"/>
        </w:numPr>
        <w:contextualSpacing/>
        <w:jc w:val="both"/>
        <w:rPr>
          <w:i/>
          <w:lang w:val="en-GB"/>
        </w:rPr>
      </w:pPr>
      <w:r w:rsidRPr="006B4871">
        <w:rPr>
          <w:i/>
          <w:lang w:val="en-GB"/>
        </w:rPr>
        <w:t>Compliance with Article 2 in the present case</w:t>
      </w:r>
    </w:p>
    <w:p w:rsidR="00CF4DD4" w:rsidRPr="006B4871" w:rsidRDefault="00CF4DD4" w:rsidP="008212B8">
      <w:pPr>
        <w:contextualSpacing/>
        <w:jc w:val="both"/>
        <w:rPr>
          <w:lang w:val="en-GB"/>
        </w:rPr>
      </w:pPr>
    </w:p>
    <w:p w:rsidR="00917D24" w:rsidRPr="006B4871" w:rsidRDefault="00917D24" w:rsidP="00917D24">
      <w:pPr>
        <w:pStyle w:val="ListParagraph"/>
        <w:numPr>
          <w:ilvl w:val="0"/>
          <w:numId w:val="2"/>
        </w:numPr>
        <w:suppressAutoHyphens w:val="0"/>
        <w:jc w:val="both"/>
      </w:pPr>
      <w:r w:rsidRPr="006B4871">
        <w:rPr>
          <w:lang w:val="en-GB"/>
        </w:rPr>
        <w:t>T</w:t>
      </w:r>
      <w:r w:rsidRPr="006B4871">
        <w:t xml:space="preserve">he SRSG states that “it is evident that UNMIK Police did open and pursue an investigation into the whereabouts of the three family members of the complainant; however, further information could be recorded in other files…Without reviewing those files, it is impossible to analyse how UNMIK Police conducted its investigation in detail; however, it can be </w:t>
      </w:r>
      <w:r w:rsidRPr="006B4871">
        <w:lastRenderedPageBreak/>
        <w:t xml:space="preserve">ascertained that leads were followed but this did not culminate in the location and identification of the mortal remains or the identification of the perpetrators” (see § </w:t>
      </w:r>
      <w:r w:rsidR="00757455">
        <w:fldChar w:fldCharType="begin"/>
      </w:r>
      <w:r w:rsidR="00757455">
        <w:instrText xml:space="preserve"> REF _Ref405302706 \r \h  \* MERGEFORMAT </w:instrText>
      </w:r>
      <w:r w:rsidR="00757455">
        <w:fldChar w:fldCharType="separate"/>
      </w:r>
      <w:r w:rsidR="009E21A4">
        <w:t>51</w:t>
      </w:r>
      <w:r w:rsidR="00757455">
        <w:fldChar w:fldCharType="end"/>
      </w:r>
      <w:r w:rsidRPr="006B4871">
        <w:t xml:space="preserve"> above). </w:t>
      </w:r>
    </w:p>
    <w:p w:rsidR="00917D24" w:rsidRPr="006B4871" w:rsidRDefault="00917D24" w:rsidP="00917D24">
      <w:pPr>
        <w:pStyle w:val="ListParagraph"/>
        <w:suppressAutoHyphens w:val="0"/>
        <w:ind w:left="360"/>
        <w:jc w:val="both"/>
      </w:pPr>
    </w:p>
    <w:p w:rsidR="00917D24" w:rsidRPr="006B4871" w:rsidRDefault="00917D24" w:rsidP="00917D24">
      <w:pPr>
        <w:numPr>
          <w:ilvl w:val="0"/>
          <w:numId w:val="2"/>
        </w:numPr>
        <w:tabs>
          <w:tab w:val="left" w:pos="360"/>
        </w:tabs>
        <w:suppressAutoHyphens/>
        <w:autoSpaceDE w:val="0"/>
        <w:jc w:val="both"/>
      </w:pPr>
      <w:r w:rsidRPr="006B4871">
        <w:t xml:space="preserve">In this regard, the Panel first addresses the issue of the burden of proof. At the admissibility stage, the Panel was satisfied that the complainants’ allegations were not groundless, thus it accepted the existence of a </w:t>
      </w:r>
      <w:r w:rsidRPr="006B4871">
        <w:rPr>
          <w:i/>
        </w:rPr>
        <w:t>prima facie</w:t>
      </w:r>
      <w:r w:rsidRPr="006B4871">
        <w:t xml:space="preserve"> case: that Mr Slobodan Vujačić, Mr Luka Petrušić and Mrs Radmila Petrušić  were abducted in life threatening circumstances and that UNMIK had bec</w:t>
      </w:r>
      <w:r w:rsidR="00911BC1">
        <w:t>ome aware of their</w:t>
      </w:r>
      <w:r w:rsidRPr="006B4871">
        <w:t xml:space="preserve"> disappearance at the latest in June 2000 (see § </w:t>
      </w:r>
      <w:r w:rsidR="00757455">
        <w:fldChar w:fldCharType="begin"/>
      </w:r>
      <w:r w:rsidR="00757455">
        <w:instrText xml:space="preserve"> REF _Ref405279350 \r \h  \* MERGEFORMAT </w:instrText>
      </w:r>
      <w:r w:rsidR="00757455">
        <w:fldChar w:fldCharType="separate"/>
      </w:r>
      <w:r w:rsidR="009E21A4">
        <w:t>25</w:t>
      </w:r>
      <w:r w:rsidR="00757455">
        <w:fldChar w:fldCharType="end"/>
      </w:r>
      <w:r w:rsidRPr="006B4871">
        <w:t xml:space="preserve"> above). </w:t>
      </w:r>
    </w:p>
    <w:p w:rsidR="00917D24" w:rsidRPr="006B4871" w:rsidRDefault="00917D24" w:rsidP="00917D24">
      <w:pPr>
        <w:tabs>
          <w:tab w:val="left" w:pos="360"/>
        </w:tabs>
        <w:suppressAutoHyphens/>
        <w:autoSpaceDE w:val="0"/>
        <w:jc w:val="both"/>
      </w:pPr>
    </w:p>
    <w:p w:rsidR="00917D24" w:rsidRPr="006B4871" w:rsidRDefault="00917D24" w:rsidP="00917D24">
      <w:pPr>
        <w:numPr>
          <w:ilvl w:val="0"/>
          <w:numId w:val="2"/>
        </w:numPr>
        <w:tabs>
          <w:tab w:val="left" w:pos="360"/>
        </w:tabs>
        <w:suppressAutoHyphens/>
        <w:autoSpaceDE w:val="0"/>
        <w:jc w:val="both"/>
      </w:pPr>
      <w:r w:rsidRPr="006B4871">
        <w:t xml:space="preserve">Accordingly, applying the principles discussed above (see §§ </w:t>
      </w:r>
      <w:r w:rsidR="00757455">
        <w:fldChar w:fldCharType="begin"/>
      </w:r>
      <w:r w:rsidR="00757455">
        <w:instrText xml:space="preserve"> REF _Ref400788371 \r \h  \* MERGEFORMAT </w:instrText>
      </w:r>
      <w:r w:rsidR="00757455">
        <w:fldChar w:fldCharType="separate"/>
      </w:r>
      <w:r w:rsidR="009E21A4">
        <w:t>59</w:t>
      </w:r>
      <w:r w:rsidR="00757455">
        <w:fldChar w:fldCharType="end"/>
      </w:r>
      <w:r w:rsidRPr="006B4871">
        <w:t>-</w:t>
      </w:r>
      <w:r w:rsidR="00757455">
        <w:fldChar w:fldCharType="begin"/>
      </w:r>
      <w:r w:rsidR="00757455">
        <w:instrText xml:space="preserve"> REF _Ref400788384 \r \h  \* MERGEFORMAT </w:instrText>
      </w:r>
      <w:r w:rsidR="00757455">
        <w:fldChar w:fldCharType="separate"/>
      </w:r>
      <w:r w:rsidR="009E21A4">
        <w:t>62</w:t>
      </w:r>
      <w:r w:rsidR="00757455">
        <w:fldChar w:fldCharType="end"/>
      </w:r>
      <w:r w:rsidRPr="006B4871">
        <w:t>), the Panel considers that the burden of proof has shifted to the respondent, so that it is for UNMIK to present the Panel with evidence of an adequate investigation as a defense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17D24" w:rsidRPr="006B4871" w:rsidRDefault="00917D24" w:rsidP="00917D24">
      <w:pPr>
        <w:tabs>
          <w:tab w:val="left" w:pos="360"/>
        </w:tabs>
        <w:suppressAutoHyphens/>
        <w:autoSpaceDE w:val="0"/>
        <w:jc w:val="both"/>
      </w:pPr>
    </w:p>
    <w:p w:rsidR="00917D24" w:rsidRPr="006B4871" w:rsidRDefault="00917D24" w:rsidP="00917D24">
      <w:pPr>
        <w:numPr>
          <w:ilvl w:val="0"/>
          <w:numId w:val="2"/>
        </w:numPr>
        <w:tabs>
          <w:tab w:val="left" w:pos="360"/>
        </w:tabs>
        <w:suppressAutoHyphens/>
        <w:autoSpaceDE w:val="0"/>
        <w:jc w:val="both"/>
      </w:pPr>
      <w:r w:rsidRPr="006B4871">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the file was not properly handed over to EULEX; or UNMIK failed to retrieve the file from the current custodian.</w:t>
      </w:r>
    </w:p>
    <w:p w:rsidR="00917D24" w:rsidRPr="006B4871" w:rsidRDefault="00917D24" w:rsidP="00917D24">
      <w:pPr>
        <w:tabs>
          <w:tab w:val="left" w:pos="360"/>
        </w:tabs>
        <w:suppressAutoHyphens/>
        <w:autoSpaceDE w:val="0"/>
        <w:ind w:left="360"/>
        <w:jc w:val="both"/>
      </w:pPr>
    </w:p>
    <w:p w:rsidR="00917D24" w:rsidRPr="006B4871" w:rsidRDefault="00917D24" w:rsidP="00917D24">
      <w:pPr>
        <w:numPr>
          <w:ilvl w:val="0"/>
          <w:numId w:val="2"/>
        </w:numPr>
        <w:tabs>
          <w:tab w:val="left" w:pos="360"/>
        </w:tabs>
        <w:suppressAutoHyphens/>
        <w:autoSpaceDE w:val="0"/>
        <w:jc w:val="both"/>
      </w:pPr>
      <w:r w:rsidRPr="006B4871">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917D24" w:rsidRPr="006B4871" w:rsidRDefault="00917D24" w:rsidP="00917D24">
      <w:pPr>
        <w:tabs>
          <w:tab w:val="left" w:pos="709"/>
        </w:tabs>
        <w:suppressAutoHyphens/>
        <w:autoSpaceDE w:val="0"/>
        <w:ind w:left="360"/>
        <w:jc w:val="both"/>
        <w:rPr>
          <w:lang w:val="en-GB"/>
        </w:rPr>
      </w:pPr>
    </w:p>
    <w:p w:rsidR="00CF4DD4" w:rsidRPr="006B4871" w:rsidRDefault="00CF4DD4" w:rsidP="00CF4DD4">
      <w:pPr>
        <w:numPr>
          <w:ilvl w:val="0"/>
          <w:numId w:val="2"/>
        </w:numPr>
        <w:tabs>
          <w:tab w:val="left" w:pos="709"/>
        </w:tabs>
        <w:suppressAutoHyphens/>
        <w:autoSpaceDE w:val="0"/>
        <w:jc w:val="both"/>
        <w:rPr>
          <w:lang w:val="en-GB"/>
        </w:rPr>
      </w:pPr>
      <w:r w:rsidRPr="006B4871">
        <w:rPr>
          <w:bCs/>
          <w:lang w:val="en-GB"/>
        </w:rPr>
        <w:t>The</w:t>
      </w:r>
      <w:r w:rsidRPr="006B4871">
        <w:rPr>
          <w:lang w:val="en-GB"/>
        </w:rPr>
        <w:t xml:space="preserve"> Panel notes that there were obvious shortcomings in the conduct of the investigation from its </w:t>
      </w:r>
      <w:r w:rsidRPr="006B4871">
        <w:rPr>
          <w:lang w:val="en-GB" w:eastAsia="en-GB"/>
        </w:rPr>
        <w:t>commencement</w:t>
      </w:r>
      <w:r w:rsidRPr="006B4871">
        <w:rPr>
          <w:lang w:val="en-GB"/>
        </w:rPr>
        <w:t xml:space="preserve">. However, in light of the considerations developed above concerning its limited temporal jurisdiction (see § </w:t>
      </w:r>
      <w:r w:rsidR="00757455">
        <w:fldChar w:fldCharType="begin"/>
      </w:r>
      <w:r w:rsidR="00757455">
        <w:instrText xml:space="preserve"> REF _Ref346123885 \r \h  \* MERGEFORMAT </w:instrText>
      </w:r>
      <w:r w:rsidR="00757455">
        <w:fldChar w:fldCharType="separate"/>
      </w:r>
      <w:r w:rsidR="009E21A4" w:rsidRPr="009E21A4">
        <w:rPr>
          <w:lang w:val="en-GB"/>
        </w:rPr>
        <w:t>38</w:t>
      </w:r>
      <w:r w:rsidR="00757455">
        <w:fldChar w:fldCharType="end"/>
      </w:r>
      <w:r w:rsidRPr="006B4871">
        <w:rPr>
          <w:lang w:val="en-GB"/>
        </w:rPr>
        <w:t xml:space="preserve"> above), the Panel recalls that it is competent </w:t>
      </w:r>
      <w:r w:rsidRPr="006B4871">
        <w:rPr>
          <w:i/>
          <w:lang w:val="en-GB"/>
        </w:rPr>
        <w:t>ratione temporis</w:t>
      </w:r>
      <w:r w:rsidRPr="006B4871">
        <w:rPr>
          <w:lang w:val="en-GB"/>
        </w:rPr>
        <w:t xml:space="preserve"> to evaluate the compliance of the investigation with Article 2 of the ECHR only for the period after 23 April 2005, while taking into consideration the state of the case at that date (see ECtHR, </w:t>
      </w:r>
      <w:r w:rsidRPr="006B4871">
        <w:rPr>
          <w:i/>
        </w:rPr>
        <w:t>Palić v. Bosnia and Herzegovina,</w:t>
      </w:r>
      <w:r w:rsidRPr="006B4871">
        <w:t xml:space="preserve"> cited in § </w:t>
      </w:r>
      <w:r w:rsidR="00757455">
        <w:fldChar w:fldCharType="begin"/>
      </w:r>
      <w:r w:rsidR="00757455">
        <w:instrText xml:space="preserve"> REF _Ref366239979 \r \h  \* MERGEFORMAT </w:instrText>
      </w:r>
      <w:r w:rsidR="00757455">
        <w:fldChar w:fldCharType="separate"/>
      </w:r>
      <w:r w:rsidR="009E21A4">
        <w:t>67</w:t>
      </w:r>
      <w:r w:rsidR="00757455">
        <w:fldChar w:fldCharType="end"/>
      </w:r>
      <w:r w:rsidRPr="006B4871">
        <w:t xml:space="preserve"> above, at § 70</w:t>
      </w:r>
      <w:r w:rsidRPr="006B4871">
        <w:rPr>
          <w:lang w:val="en-GB"/>
        </w:rPr>
        <w:t xml:space="preserve">). The period under review ends on 9 December 2008, with EULEX taking over responsibility in the area of administration of justice (see § </w:t>
      </w:r>
      <w:r w:rsidR="00757455">
        <w:fldChar w:fldCharType="begin"/>
      </w:r>
      <w:r w:rsidR="00757455">
        <w:instrText xml:space="preserve"> REF _Ref346123927 \r \h  \* MERGEFORMAT </w:instrText>
      </w:r>
      <w:r w:rsidR="00757455">
        <w:fldChar w:fldCharType="separate"/>
      </w:r>
      <w:r w:rsidR="009E21A4" w:rsidRPr="009E21A4">
        <w:rPr>
          <w:lang w:val="en-GB"/>
        </w:rPr>
        <w:t>17</w:t>
      </w:r>
      <w:r w:rsidR="00757455">
        <w:fldChar w:fldCharType="end"/>
      </w:r>
      <w:r w:rsidRPr="006B4871">
        <w:rPr>
          <w:lang w:val="en-GB"/>
        </w:rPr>
        <w:t xml:space="preserve"> above).</w:t>
      </w:r>
    </w:p>
    <w:p w:rsidR="00CF4DD4" w:rsidRPr="006B4871" w:rsidRDefault="00CF4DD4" w:rsidP="00CF4DD4">
      <w:pPr>
        <w:pStyle w:val="ListParagraph"/>
        <w:rPr>
          <w:lang w:val="en-GB"/>
        </w:rPr>
      </w:pPr>
    </w:p>
    <w:p w:rsidR="00CF4DD4" w:rsidRPr="006B4871" w:rsidRDefault="00CF4DD4" w:rsidP="00CF4DD4">
      <w:pPr>
        <w:numPr>
          <w:ilvl w:val="0"/>
          <w:numId w:val="2"/>
        </w:numPr>
        <w:tabs>
          <w:tab w:val="left" w:pos="709"/>
        </w:tabs>
        <w:suppressAutoHyphens/>
        <w:autoSpaceDE w:val="0"/>
        <w:jc w:val="both"/>
      </w:pPr>
      <w:bookmarkStart w:id="80" w:name="_Ref379796585"/>
      <w:r w:rsidRPr="006B4871">
        <w:t xml:space="preserve">The Panel notes in this regard that according to the 2000 Annual Report of UNMIK Police, the complete executive policing powers in the Prishtinë/Priština region, including criminal investigations, were under the full control of UNMIK Police from 19 September 1999. Therefore, it was UNMIK’s responsibility to ensure, </w:t>
      </w:r>
      <w:r w:rsidRPr="006B4871">
        <w:rPr>
          <w:i/>
        </w:rPr>
        <w:t>first</w:t>
      </w:r>
      <w:r w:rsidRPr="006B4871">
        <w:t xml:space="preserve">, that the investigation is conducted expeditiously and efficiently; </w:t>
      </w:r>
      <w:r w:rsidRPr="006B4871">
        <w:rPr>
          <w:i/>
        </w:rPr>
        <w:t>second</w:t>
      </w:r>
      <w:r w:rsidRPr="006B4871">
        <w:t xml:space="preserve">, that all relevant investigative material is properly handed over to the authority taking over responsibility for the investigation (EULEX); and </w:t>
      </w:r>
      <w:r w:rsidRPr="006B4871">
        <w:rPr>
          <w:i/>
        </w:rPr>
        <w:lastRenderedPageBreak/>
        <w:t>third</w:t>
      </w:r>
      <w:r w:rsidRPr="006B4871">
        <w:t>, that the investigative files could be traced and retrieved, should a need for that arise at any later stage.</w:t>
      </w:r>
      <w:bookmarkEnd w:id="80"/>
    </w:p>
    <w:p w:rsidR="003E3F85" w:rsidRPr="006B4871" w:rsidRDefault="003E3F85" w:rsidP="00375153">
      <w:pPr>
        <w:jc w:val="both"/>
        <w:rPr>
          <w:lang w:val="en-GB"/>
        </w:rPr>
      </w:pPr>
    </w:p>
    <w:p w:rsidR="008212B8" w:rsidRPr="006B4871" w:rsidRDefault="008212B8" w:rsidP="008212B8">
      <w:pPr>
        <w:numPr>
          <w:ilvl w:val="0"/>
          <w:numId w:val="2"/>
        </w:numPr>
        <w:suppressAutoHyphens/>
        <w:autoSpaceDE w:val="0"/>
        <w:contextualSpacing/>
        <w:jc w:val="both"/>
        <w:rPr>
          <w:bCs/>
          <w:color w:val="000000" w:themeColor="text1"/>
          <w:lang w:val="en-GB"/>
        </w:rPr>
      </w:pPr>
      <w:r w:rsidRPr="006B4871">
        <w:rPr>
          <w:bCs/>
          <w:color w:val="000000" w:themeColor="text1"/>
          <w:lang w:val="en-GB"/>
        </w:rPr>
        <w:t xml:space="preserve">The Panel recalls the </w:t>
      </w:r>
      <w:r w:rsidRPr="006B4871">
        <w:rPr>
          <w:color w:val="000000" w:themeColor="text1"/>
        </w:rPr>
        <w:t>complainant’s statement</w:t>
      </w:r>
      <w:r w:rsidRPr="006B4871">
        <w:rPr>
          <w:bCs/>
          <w:color w:val="000000" w:themeColor="text1"/>
          <w:lang w:val="en-GB"/>
        </w:rPr>
        <w:t xml:space="preserve"> that the abduction of her relatives was immediately </w:t>
      </w:r>
      <w:r w:rsidRPr="006B4871">
        <w:rPr>
          <w:rStyle w:val="sb8d990e2"/>
          <w:color w:val="000000" w:themeColor="text1"/>
        </w:rPr>
        <w:t>reported</w:t>
      </w:r>
      <w:r w:rsidRPr="006B4871">
        <w:rPr>
          <w:color w:val="000000" w:themeColor="text1"/>
          <w:lang w:val="en-GB"/>
        </w:rPr>
        <w:t xml:space="preserve"> to the KFOR</w:t>
      </w:r>
      <w:r w:rsidR="00977BF8" w:rsidRPr="006B4871">
        <w:rPr>
          <w:color w:val="000000" w:themeColor="text1"/>
          <w:lang w:val="en-GB"/>
        </w:rPr>
        <w:t>,</w:t>
      </w:r>
      <w:r w:rsidRPr="006B4871">
        <w:rPr>
          <w:color w:val="000000" w:themeColor="text1"/>
          <w:lang w:val="en-GB"/>
        </w:rPr>
        <w:t xml:space="preserve"> </w:t>
      </w:r>
      <w:bookmarkStart w:id="81" w:name="_Ref374608876"/>
      <w:r w:rsidR="00977BF8" w:rsidRPr="006B4871">
        <w:rPr>
          <w:lang w:val="en-GB"/>
        </w:rPr>
        <w:t>the Montenegrin Red Cross, the ICRC and the Italian Embassy</w:t>
      </w:r>
      <w:r w:rsidRPr="006B4871">
        <w:rPr>
          <w:color w:val="000000" w:themeColor="text1"/>
          <w:lang w:val="en-GB"/>
        </w:rPr>
        <w:t>.</w:t>
      </w:r>
      <w:r w:rsidRPr="006B4871">
        <w:rPr>
          <w:bCs/>
          <w:color w:val="000000" w:themeColor="text1"/>
          <w:lang w:val="en-GB"/>
        </w:rPr>
        <w:t xml:space="preserve"> </w:t>
      </w:r>
      <w:r w:rsidRPr="006B4871">
        <w:rPr>
          <w:color w:val="000000" w:themeColor="text1"/>
          <w:lang w:val="en-GB"/>
        </w:rPr>
        <w:t xml:space="preserve">Being unable to verify when the information about the abduction did in fact reach the UNMIK authorities, the Panel considers that in any </w:t>
      </w:r>
      <w:r w:rsidR="00977BF8" w:rsidRPr="006B4871">
        <w:rPr>
          <w:color w:val="000000" w:themeColor="text1"/>
          <w:lang w:val="en-GB"/>
        </w:rPr>
        <w:t>event by 1 June 2000</w:t>
      </w:r>
      <w:r w:rsidRPr="006B4871">
        <w:rPr>
          <w:color w:val="000000" w:themeColor="text1"/>
          <w:lang w:val="en-GB"/>
        </w:rPr>
        <w:t xml:space="preserve">, at the latest, UNMIK must have been fully aware about the abduction of </w:t>
      </w:r>
      <w:r w:rsidR="00977BF8" w:rsidRPr="006B4871">
        <w:t>Mr Slobodan Vujačić, Mr Luka Petrušić and Mrs Radmila Petrušić</w:t>
      </w:r>
      <w:r w:rsidRPr="006B4871">
        <w:rPr>
          <w:color w:val="000000" w:themeColor="text1"/>
          <w:lang w:val="en-GB"/>
        </w:rPr>
        <w:t xml:space="preserve">. On this date, </w:t>
      </w:r>
      <w:r w:rsidR="00977BF8" w:rsidRPr="006B4871">
        <w:rPr>
          <w:color w:val="000000" w:themeColor="text1"/>
          <w:lang w:val="en-GB"/>
        </w:rPr>
        <w:t xml:space="preserve">an MPU investigator sent an internal memorandum </w:t>
      </w:r>
      <w:r w:rsidR="00977BF8" w:rsidRPr="006B4871">
        <w:rPr>
          <w:bCs/>
          <w:lang w:val="en-GB"/>
        </w:rPr>
        <w:t xml:space="preserve">to the Head of the MPU informing that he had been contacted by the complainant and she had informed him about the abduction of her relatives (see § </w:t>
      </w:r>
      <w:r w:rsidR="00757455">
        <w:fldChar w:fldCharType="begin"/>
      </w:r>
      <w:r w:rsidR="00757455">
        <w:instrText xml:space="preserve"> REF _Ref405279350 \r \h  \* MERGEFORMAT </w:instrText>
      </w:r>
      <w:r w:rsidR="00757455">
        <w:fldChar w:fldCharType="separate"/>
      </w:r>
      <w:r w:rsidR="009E21A4" w:rsidRPr="009E21A4">
        <w:rPr>
          <w:bCs/>
          <w:lang w:val="en-GB"/>
        </w:rPr>
        <w:t>25</w:t>
      </w:r>
      <w:r w:rsidR="00757455">
        <w:fldChar w:fldCharType="end"/>
      </w:r>
      <w:r w:rsidR="00977BF8" w:rsidRPr="006B4871">
        <w:rPr>
          <w:bCs/>
          <w:lang w:val="en-GB"/>
        </w:rPr>
        <w:t xml:space="preserve"> above).</w:t>
      </w:r>
      <w:r w:rsidR="00977BF8" w:rsidRPr="006B4871">
        <w:rPr>
          <w:color w:val="000000" w:themeColor="text1"/>
          <w:lang w:val="en-GB"/>
        </w:rPr>
        <w:t xml:space="preserve"> </w:t>
      </w:r>
    </w:p>
    <w:p w:rsidR="00977BF8" w:rsidRPr="006B4871" w:rsidRDefault="00977BF8" w:rsidP="00977BF8">
      <w:pPr>
        <w:suppressAutoHyphens/>
        <w:autoSpaceDE w:val="0"/>
        <w:contextualSpacing/>
        <w:jc w:val="both"/>
        <w:rPr>
          <w:bCs/>
          <w:color w:val="000000" w:themeColor="text1"/>
          <w:lang w:val="en-GB"/>
        </w:rPr>
      </w:pPr>
    </w:p>
    <w:p w:rsidR="008212B8" w:rsidRPr="006B4871" w:rsidRDefault="008212B8" w:rsidP="008212B8">
      <w:pPr>
        <w:numPr>
          <w:ilvl w:val="0"/>
          <w:numId w:val="2"/>
        </w:numPr>
        <w:suppressAutoHyphens/>
        <w:autoSpaceDE w:val="0"/>
        <w:contextualSpacing/>
        <w:jc w:val="both"/>
        <w:rPr>
          <w:bCs/>
          <w:color w:val="000000" w:themeColor="text1"/>
          <w:lang w:val="en-GB"/>
        </w:rPr>
      </w:pPr>
      <w:r w:rsidRPr="006B4871">
        <w:rPr>
          <w:color w:val="000000" w:themeColor="text1"/>
          <w:lang w:val="en-GB"/>
        </w:rPr>
        <w:t>The Panel notes that the</w:t>
      </w:r>
      <w:r w:rsidR="00977BF8" w:rsidRPr="006B4871">
        <w:rPr>
          <w:color w:val="000000" w:themeColor="text1"/>
          <w:lang w:val="en-GB"/>
        </w:rPr>
        <w:t xml:space="preserve"> SRSG states that “</w:t>
      </w:r>
      <w:r w:rsidR="00977BF8" w:rsidRPr="006B4871">
        <w:t>the OMPF became aware of their disappearance in the middle of 2000.”</w:t>
      </w:r>
      <w:r w:rsidRPr="006B4871">
        <w:rPr>
          <w:color w:val="000000" w:themeColor="text1"/>
          <w:lang w:val="en-GB"/>
        </w:rPr>
        <w:t xml:space="preserve"> The only action taken by the MPU </w:t>
      </w:r>
      <w:r w:rsidR="009C380A" w:rsidRPr="006B4871">
        <w:rPr>
          <w:color w:val="000000" w:themeColor="text1"/>
          <w:lang w:val="en-GB"/>
        </w:rPr>
        <w:t>at this time seems to have been</w:t>
      </w:r>
      <w:r w:rsidRPr="006B4871">
        <w:rPr>
          <w:color w:val="000000" w:themeColor="text1"/>
          <w:lang w:val="en-GB"/>
        </w:rPr>
        <w:t xml:space="preserve"> assigning the case a case file number and registering the ante-mortem information already gathered by the ICRC. The Panel notes that the ante-mortem information</w:t>
      </w:r>
      <w:r w:rsidR="009C380A" w:rsidRPr="006B4871">
        <w:rPr>
          <w:color w:val="000000" w:themeColor="text1"/>
          <w:lang w:val="en-GB"/>
        </w:rPr>
        <w:t xml:space="preserve"> for</w:t>
      </w:r>
      <w:r w:rsidRPr="006B4871">
        <w:rPr>
          <w:color w:val="000000" w:themeColor="text1"/>
          <w:lang w:val="en-GB"/>
        </w:rPr>
        <w:t xml:space="preserve"> </w:t>
      </w:r>
      <w:r w:rsidR="009C380A" w:rsidRPr="006B4871">
        <w:t>Mr Slobodan Vujačić, Mr Luka Petrušić and Mrs Radmila Petrušić</w:t>
      </w:r>
      <w:r w:rsidR="009C380A" w:rsidRPr="006B4871">
        <w:rPr>
          <w:color w:val="000000" w:themeColor="text1"/>
          <w:lang w:val="en-GB"/>
        </w:rPr>
        <w:t xml:space="preserve"> </w:t>
      </w:r>
      <w:r w:rsidRPr="006B4871">
        <w:rPr>
          <w:color w:val="000000" w:themeColor="text1"/>
          <w:lang w:val="en-GB"/>
        </w:rPr>
        <w:t>contained the full contact details, including contact address and telephone num</w:t>
      </w:r>
      <w:r w:rsidR="009C380A" w:rsidRPr="006B4871">
        <w:rPr>
          <w:color w:val="000000" w:themeColor="text1"/>
          <w:lang w:val="en-GB"/>
        </w:rPr>
        <w:t xml:space="preserve">bers in Serbia proper, of both the </w:t>
      </w:r>
      <w:r w:rsidR="005C7EC0" w:rsidRPr="006B4871">
        <w:rPr>
          <w:color w:val="000000" w:themeColor="text1"/>
          <w:lang w:val="en-GB"/>
        </w:rPr>
        <w:t>complainant and</w:t>
      </w:r>
      <w:r w:rsidR="009C380A" w:rsidRPr="006B4871">
        <w:rPr>
          <w:color w:val="000000" w:themeColor="text1"/>
          <w:lang w:val="en-GB"/>
        </w:rPr>
        <w:t xml:space="preserve"> her brother Mr M.P.</w:t>
      </w:r>
      <w:r w:rsidRPr="006B4871">
        <w:rPr>
          <w:color w:val="000000" w:themeColor="text1"/>
          <w:lang w:val="en-GB"/>
        </w:rPr>
        <w:t xml:space="preserve"> However, there is no indication in the file that the MPU contacted, or made an effort to contact</w:t>
      </w:r>
      <w:r w:rsidR="009C380A" w:rsidRPr="006B4871">
        <w:rPr>
          <w:color w:val="000000" w:themeColor="text1"/>
          <w:lang w:val="en-GB"/>
        </w:rPr>
        <w:t xml:space="preserve"> them</w:t>
      </w:r>
      <w:r w:rsidRPr="006B4871">
        <w:rPr>
          <w:color w:val="000000" w:themeColor="text1"/>
          <w:lang w:val="en-GB"/>
        </w:rPr>
        <w:t xml:space="preserve">, in order to gather further information on the abduction of </w:t>
      </w:r>
      <w:r w:rsidR="009C380A" w:rsidRPr="006B4871">
        <w:t>Mr Slobodan Vujačić, Mr Luka Petrušić and Mrs Radmila Petrušić</w:t>
      </w:r>
      <w:r w:rsidRPr="006B4871">
        <w:rPr>
          <w:color w:val="000000" w:themeColor="text1"/>
          <w:lang w:val="en-GB"/>
        </w:rPr>
        <w:t xml:space="preserve">. </w:t>
      </w:r>
    </w:p>
    <w:p w:rsidR="008212B8" w:rsidRPr="006B4871" w:rsidRDefault="008212B8" w:rsidP="008212B8">
      <w:pPr>
        <w:pStyle w:val="ListParagraph"/>
        <w:rPr>
          <w:bCs/>
          <w:color w:val="000000" w:themeColor="text1"/>
          <w:lang w:val="en-GB"/>
        </w:rPr>
      </w:pPr>
    </w:p>
    <w:p w:rsidR="006D2760" w:rsidRPr="006B4871" w:rsidRDefault="008212B8" w:rsidP="008212B8">
      <w:pPr>
        <w:numPr>
          <w:ilvl w:val="0"/>
          <w:numId w:val="2"/>
        </w:numPr>
        <w:suppressAutoHyphens/>
        <w:autoSpaceDE w:val="0"/>
        <w:contextualSpacing/>
        <w:jc w:val="both"/>
        <w:rPr>
          <w:bCs/>
          <w:color w:val="000000" w:themeColor="text1"/>
          <w:lang w:val="en-GB"/>
        </w:rPr>
      </w:pPr>
      <w:r w:rsidRPr="006B4871">
        <w:rPr>
          <w:bCs/>
          <w:color w:val="000000" w:themeColor="text1"/>
          <w:lang w:val="en-GB"/>
        </w:rPr>
        <w:t>The investigative file shows that</w:t>
      </w:r>
      <w:r w:rsidR="00855FC0" w:rsidRPr="006B4871">
        <w:rPr>
          <w:bCs/>
          <w:color w:val="000000" w:themeColor="text1"/>
          <w:lang w:val="en-GB"/>
        </w:rPr>
        <w:t xml:space="preserve"> the only acti</w:t>
      </w:r>
      <w:r w:rsidR="00CC7D20" w:rsidRPr="006B4871">
        <w:rPr>
          <w:bCs/>
          <w:color w:val="000000" w:themeColor="text1"/>
          <w:lang w:val="en-GB"/>
        </w:rPr>
        <w:t>vities</w:t>
      </w:r>
      <w:r w:rsidRPr="006B4871">
        <w:rPr>
          <w:bCs/>
          <w:color w:val="000000" w:themeColor="text1"/>
          <w:lang w:val="en-GB"/>
        </w:rPr>
        <w:t xml:space="preserve"> carried out by the UNMIK </w:t>
      </w:r>
      <w:r w:rsidR="00855FC0" w:rsidRPr="006B4871">
        <w:rPr>
          <w:bCs/>
          <w:color w:val="000000" w:themeColor="text1"/>
          <w:lang w:val="en-GB"/>
        </w:rPr>
        <w:t>MPU</w:t>
      </w:r>
      <w:r w:rsidRPr="006B4871">
        <w:rPr>
          <w:bCs/>
          <w:color w:val="000000" w:themeColor="text1"/>
          <w:lang w:val="en-GB"/>
        </w:rPr>
        <w:t xml:space="preserve"> on this case</w:t>
      </w:r>
      <w:r w:rsidR="009C380A" w:rsidRPr="006B4871">
        <w:rPr>
          <w:bCs/>
          <w:color w:val="000000" w:themeColor="text1"/>
          <w:lang w:val="en-GB"/>
        </w:rPr>
        <w:t xml:space="preserve"> were taking the witness statement of </w:t>
      </w:r>
      <w:r w:rsidR="009C380A" w:rsidRPr="006B4871">
        <w:rPr>
          <w:lang w:val="en-GB"/>
        </w:rPr>
        <w:t xml:space="preserve">Mr Luka Petrušić’s brother Mr S.P. on 21 May 2002 (see § </w:t>
      </w:r>
      <w:r w:rsidR="00757455">
        <w:fldChar w:fldCharType="begin"/>
      </w:r>
      <w:r w:rsidR="00757455">
        <w:instrText xml:space="preserve"> REF _Ref404868152 \r \h  \* MERGEFORMAT </w:instrText>
      </w:r>
      <w:r w:rsidR="00757455">
        <w:fldChar w:fldCharType="separate"/>
      </w:r>
      <w:r w:rsidR="009E21A4" w:rsidRPr="009E21A4">
        <w:rPr>
          <w:lang w:val="en-GB"/>
        </w:rPr>
        <w:t>28</w:t>
      </w:r>
      <w:r w:rsidR="00757455">
        <w:fldChar w:fldCharType="end"/>
      </w:r>
      <w:r w:rsidR="009C380A" w:rsidRPr="006B4871">
        <w:rPr>
          <w:lang w:val="en-GB"/>
        </w:rPr>
        <w:t xml:space="preserve"> above)</w:t>
      </w:r>
      <w:r w:rsidR="009C380A" w:rsidRPr="006B4871">
        <w:rPr>
          <w:bCs/>
          <w:color w:val="000000" w:themeColor="text1"/>
          <w:lang w:val="en-GB"/>
        </w:rPr>
        <w:t>, and the MPU investigator’s visit to the potential gravesite on 5 July 2002</w:t>
      </w:r>
      <w:r w:rsidR="006D2760" w:rsidRPr="006B4871">
        <w:rPr>
          <w:bCs/>
          <w:color w:val="000000" w:themeColor="text1"/>
          <w:lang w:val="en-GB"/>
        </w:rPr>
        <w:t xml:space="preserve"> (see § </w:t>
      </w:r>
      <w:r w:rsidR="00757455">
        <w:fldChar w:fldCharType="begin"/>
      </w:r>
      <w:r w:rsidR="00757455">
        <w:instrText xml:space="preserve"> REF _Ref405284197 \r \h  \* MERGEFORMAT </w:instrText>
      </w:r>
      <w:r w:rsidR="00757455">
        <w:fldChar w:fldCharType="separate"/>
      </w:r>
      <w:r w:rsidR="009E21A4" w:rsidRPr="009E21A4">
        <w:rPr>
          <w:bCs/>
          <w:color w:val="000000" w:themeColor="text1"/>
          <w:lang w:val="en-GB"/>
        </w:rPr>
        <w:t>29</w:t>
      </w:r>
      <w:r w:rsidR="00757455">
        <w:fldChar w:fldCharType="end"/>
      </w:r>
      <w:r w:rsidR="006D2760" w:rsidRPr="006B4871">
        <w:rPr>
          <w:bCs/>
          <w:color w:val="000000" w:themeColor="text1"/>
          <w:lang w:val="en-GB"/>
        </w:rPr>
        <w:t xml:space="preserve"> above). The Panel notes with concern that the file states that human remains were recovered from the gravesite but there is no further record in the file of what subsequently happened to these human remains. The Panel is concerned to note that the last mention of the human remains is from the MPU investigator in an undated internal memorandum that states “</w:t>
      </w:r>
      <w:r w:rsidR="006D2760" w:rsidRPr="006B4871">
        <w:rPr>
          <w:lang w:val="en-GB"/>
        </w:rPr>
        <w:t xml:space="preserve">[t]he exhibits recovered from the scene by Istok station on 29/03/02 is still in the evidence room of the station and it needs early forensic examination to rule out the possibility of remains related to the missing of this case” (see § </w:t>
      </w:r>
      <w:r w:rsidR="00757455">
        <w:fldChar w:fldCharType="begin"/>
      </w:r>
      <w:r w:rsidR="00757455">
        <w:instrText xml:space="preserve"> REF _Ref405284197 \r \h  \* MERGEFORMAT </w:instrText>
      </w:r>
      <w:r w:rsidR="00757455">
        <w:fldChar w:fldCharType="separate"/>
      </w:r>
      <w:r w:rsidR="009E21A4" w:rsidRPr="009E21A4">
        <w:rPr>
          <w:lang w:val="en-GB"/>
        </w:rPr>
        <w:t>29</w:t>
      </w:r>
      <w:r w:rsidR="00757455">
        <w:fldChar w:fldCharType="end"/>
      </w:r>
      <w:r w:rsidR="006D2760" w:rsidRPr="006B4871">
        <w:rPr>
          <w:lang w:val="en-GB"/>
        </w:rPr>
        <w:t xml:space="preserve"> above).</w:t>
      </w:r>
      <w:r w:rsidR="006D2760" w:rsidRPr="006B4871">
        <w:rPr>
          <w:bCs/>
          <w:color w:val="000000" w:themeColor="text1"/>
          <w:lang w:val="en-GB"/>
        </w:rPr>
        <w:t xml:space="preserve"> The Panel’s concern is not assuaged by the SRSG’s statement that “</w:t>
      </w:r>
      <w:r w:rsidR="006D2760" w:rsidRPr="006B4871">
        <w:rPr>
          <w:lang w:val="en-GB"/>
        </w:rPr>
        <w:t xml:space="preserve">we consider it likely that further investigation was carried out, but not reflected in the documents obtained to date” (see § </w:t>
      </w:r>
      <w:r w:rsidR="00757455">
        <w:fldChar w:fldCharType="begin"/>
      </w:r>
      <w:r w:rsidR="00757455">
        <w:instrText xml:space="preserve"> REF _Ref405284592 \r \h  \* MERGEFORMAT </w:instrText>
      </w:r>
      <w:r w:rsidR="00757455">
        <w:fldChar w:fldCharType="separate"/>
      </w:r>
      <w:r w:rsidR="009E21A4" w:rsidRPr="009E21A4">
        <w:rPr>
          <w:lang w:val="en-GB"/>
        </w:rPr>
        <w:t>50</w:t>
      </w:r>
      <w:r w:rsidR="00757455">
        <w:fldChar w:fldCharType="end"/>
      </w:r>
      <w:r w:rsidR="006D2760" w:rsidRPr="006B4871">
        <w:rPr>
          <w:lang w:val="en-GB"/>
        </w:rPr>
        <w:t xml:space="preserve"> above).</w:t>
      </w:r>
      <w:r w:rsidR="006D2760" w:rsidRPr="006B4871">
        <w:rPr>
          <w:bCs/>
          <w:color w:val="000000" w:themeColor="text1"/>
          <w:lang w:val="en-GB"/>
        </w:rPr>
        <w:t xml:space="preserve"> </w:t>
      </w:r>
      <w:r w:rsidRPr="006B4871">
        <w:rPr>
          <w:bCs/>
          <w:color w:val="000000" w:themeColor="text1"/>
          <w:lang w:val="en-GB"/>
        </w:rPr>
        <w:t xml:space="preserve"> </w:t>
      </w:r>
    </w:p>
    <w:p w:rsidR="006D2760" w:rsidRPr="006B4871" w:rsidRDefault="006D2760" w:rsidP="006D2760">
      <w:pPr>
        <w:suppressAutoHyphens/>
        <w:autoSpaceDE w:val="0"/>
        <w:ind w:left="360"/>
        <w:contextualSpacing/>
        <w:jc w:val="both"/>
        <w:rPr>
          <w:bCs/>
          <w:color w:val="000000" w:themeColor="text1"/>
          <w:lang w:val="en-GB"/>
        </w:rPr>
      </w:pPr>
    </w:p>
    <w:p w:rsidR="008212B8" w:rsidRPr="006B4871" w:rsidRDefault="006D2760" w:rsidP="008212B8">
      <w:pPr>
        <w:numPr>
          <w:ilvl w:val="0"/>
          <w:numId w:val="2"/>
        </w:numPr>
        <w:suppressAutoHyphens/>
        <w:autoSpaceDE w:val="0"/>
        <w:contextualSpacing/>
        <w:jc w:val="both"/>
        <w:rPr>
          <w:bCs/>
          <w:color w:val="000000" w:themeColor="text1"/>
          <w:lang w:val="en-GB"/>
        </w:rPr>
      </w:pPr>
      <w:r w:rsidRPr="006B4871">
        <w:rPr>
          <w:bCs/>
          <w:color w:val="000000" w:themeColor="text1"/>
          <w:lang w:val="en-GB"/>
        </w:rPr>
        <w:t>The Panel also notes that t</w:t>
      </w:r>
      <w:r w:rsidR="008212B8" w:rsidRPr="006B4871">
        <w:rPr>
          <w:bCs/>
          <w:color w:val="000000" w:themeColor="text1"/>
          <w:lang w:val="en-GB"/>
        </w:rPr>
        <w:t xml:space="preserve">here is no indication in the file that UNMIK Police made further enquiries with the complainant </w:t>
      </w:r>
      <w:r w:rsidR="009C380A" w:rsidRPr="006B4871">
        <w:rPr>
          <w:bCs/>
          <w:color w:val="000000" w:themeColor="text1"/>
          <w:lang w:val="en-GB"/>
        </w:rPr>
        <w:t xml:space="preserve">or </w:t>
      </w:r>
      <w:r w:rsidR="009C380A" w:rsidRPr="006B4871">
        <w:t>with the potential witness</w:t>
      </w:r>
      <w:r w:rsidR="00AD59CE" w:rsidRPr="006B4871">
        <w:t>es</w:t>
      </w:r>
      <w:r w:rsidR="009C380A" w:rsidRPr="006B4871">
        <w:t xml:space="preserve"> N.F</w:t>
      </w:r>
      <w:r w:rsidR="008212B8" w:rsidRPr="006B4871">
        <w:rPr>
          <w:bCs/>
          <w:color w:val="000000" w:themeColor="text1"/>
          <w:lang w:val="en-GB"/>
        </w:rPr>
        <w:t>.</w:t>
      </w:r>
      <w:r w:rsidR="00923D0C" w:rsidRPr="006B4871">
        <w:rPr>
          <w:bCs/>
          <w:color w:val="000000" w:themeColor="text1"/>
          <w:lang w:val="en-GB"/>
        </w:rPr>
        <w:t xml:space="preserve"> and </w:t>
      </w:r>
      <w:r w:rsidR="00AD59CE" w:rsidRPr="006B4871">
        <w:rPr>
          <w:bCs/>
          <w:color w:val="000000" w:themeColor="text1"/>
          <w:lang w:val="en-GB"/>
        </w:rPr>
        <w:t xml:space="preserve">H.A. (see § </w:t>
      </w:r>
      <w:r w:rsidR="00757455">
        <w:fldChar w:fldCharType="begin"/>
      </w:r>
      <w:r w:rsidR="00757455">
        <w:instrText xml:space="preserve"> REF _Ref405279350 \r \h  \* MERGEFORMAT </w:instrText>
      </w:r>
      <w:r w:rsidR="00757455">
        <w:fldChar w:fldCharType="separate"/>
      </w:r>
      <w:r w:rsidR="009E21A4" w:rsidRPr="009E21A4">
        <w:rPr>
          <w:bCs/>
          <w:color w:val="000000" w:themeColor="text1"/>
          <w:lang w:val="en-GB"/>
        </w:rPr>
        <w:t>25</w:t>
      </w:r>
      <w:r w:rsidR="00757455">
        <w:fldChar w:fldCharType="end"/>
      </w:r>
      <w:r w:rsidR="00AD59CE" w:rsidRPr="006B4871">
        <w:rPr>
          <w:bCs/>
          <w:color w:val="000000" w:themeColor="text1"/>
          <w:lang w:val="en-GB"/>
        </w:rPr>
        <w:t xml:space="preserve"> above).</w:t>
      </w:r>
      <w:r w:rsidR="008212B8" w:rsidRPr="006B4871">
        <w:rPr>
          <w:bCs/>
          <w:color w:val="000000" w:themeColor="text1"/>
          <w:lang w:val="en-GB"/>
        </w:rPr>
        <w:t xml:space="preserve"> Further, there is no evidence in the file that UNMIK Police took any other basic step, such as “canvassing” the neighbourhood in which </w:t>
      </w:r>
      <w:r w:rsidR="009C380A" w:rsidRPr="006B4871">
        <w:t>Mr Slobodan Vujačić, Mr Luka Petrušić and Mrs Radmila Petrušić</w:t>
      </w:r>
      <w:r w:rsidR="009C380A" w:rsidRPr="006B4871">
        <w:rPr>
          <w:bCs/>
          <w:color w:val="000000" w:themeColor="text1"/>
          <w:lang w:val="en-GB"/>
        </w:rPr>
        <w:t xml:space="preserve"> </w:t>
      </w:r>
      <w:proofErr w:type="spellStart"/>
      <w:r w:rsidR="009C380A" w:rsidRPr="006B4871">
        <w:rPr>
          <w:bCs/>
          <w:color w:val="000000" w:themeColor="text1"/>
          <w:lang w:val="en-GB"/>
        </w:rPr>
        <w:t>were</w:t>
      </w:r>
      <w:proofErr w:type="spellEnd"/>
      <w:r w:rsidR="008212B8" w:rsidRPr="006B4871">
        <w:rPr>
          <w:bCs/>
          <w:color w:val="000000" w:themeColor="text1"/>
          <w:lang w:val="en-GB"/>
        </w:rPr>
        <w:t xml:space="preserve"> living</w:t>
      </w:r>
      <w:r w:rsidR="00923D0C" w:rsidRPr="006B4871">
        <w:rPr>
          <w:bCs/>
          <w:color w:val="000000" w:themeColor="text1"/>
          <w:lang w:val="en-GB"/>
        </w:rPr>
        <w:t xml:space="preserve"> when abducted</w:t>
      </w:r>
      <w:r w:rsidR="008212B8" w:rsidRPr="006B4871">
        <w:rPr>
          <w:bCs/>
          <w:color w:val="000000" w:themeColor="text1"/>
          <w:lang w:val="en-GB"/>
        </w:rPr>
        <w:t>, to locate and interv</w:t>
      </w:r>
      <w:r w:rsidR="00923D0C" w:rsidRPr="006B4871">
        <w:rPr>
          <w:bCs/>
          <w:color w:val="000000" w:themeColor="text1"/>
          <w:lang w:val="en-GB"/>
        </w:rPr>
        <w:t>iew</w:t>
      </w:r>
      <w:r w:rsidR="008212B8" w:rsidRPr="006B4871">
        <w:rPr>
          <w:bCs/>
          <w:color w:val="000000" w:themeColor="text1"/>
          <w:lang w:val="en-GB"/>
        </w:rPr>
        <w:t xml:space="preserve"> other potential witnesses who could shed light on the circums</w:t>
      </w:r>
      <w:r w:rsidR="009C380A" w:rsidRPr="006B4871">
        <w:rPr>
          <w:bCs/>
          <w:color w:val="000000" w:themeColor="text1"/>
          <w:lang w:val="en-GB"/>
        </w:rPr>
        <w:t>tances surrounding their</w:t>
      </w:r>
      <w:r w:rsidR="008212B8" w:rsidRPr="006B4871">
        <w:rPr>
          <w:bCs/>
          <w:color w:val="000000" w:themeColor="text1"/>
          <w:lang w:val="en-GB"/>
        </w:rPr>
        <w:t xml:space="preserve"> abduction. </w:t>
      </w:r>
      <w:r w:rsidR="00414BC8" w:rsidRPr="006B4871">
        <w:rPr>
          <w:bCs/>
          <w:color w:val="000000" w:themeColor="text1"/>
          <w:lang w:val="en-GB"/>
        </w:rPr>
        <w:t xml:space="preserve">The Panel also notes that there is no evidence in the file that UNMIK Police attempted to </w:t>
      </w:r>
      <w:r w:rsidR="00923D0C" w:rsidRPr="006B4871">
        <w:rPr>
          <w:bCs/>
          <w:color w:val="000000" w:themeColor="text1"/>
          <w:lang w:val="en-GB"/>
        </w:rPr>
        <w:t xml:space="preserve">locate and interview </w:t>
      </w:r>
      <w:r w:rsidR="00414BC8" w:rsidRPr="006B4871">
        <w:rPr>
          <w:bCs/>
          <w:color w:val="000000" w:themeColor="text1"/>
          <w:lang w:val="en-GB"/>
        </w:rPr>
        <w:t>Q.L.</w:t>
      </w:r>
      <w:r w:rsidR="00923D0C" w:rsidRPr="006B4871">
        <w:rPr>
          <w:bCs/>
          <w:color w:val="000000" w:themeColor="text1"/>
          <w:lang w:val="en-GB"/>
        </w:rPr>
        <w:t xml:space="preserve">, </w:t>
      </w:r>
      <w:r w:rsidR="00414BC8" w:rsidRPr="006B4871">
        <w:rPr>
          <w:bCs/>
          <w:color w:val="000000" w:themeColor="text1"/>
          <w:lang w:val="en-GB"/>
        </w:rPr>
        <w:t xml:space="preserve">who </w:t>
      </w:r>
      <w:r w:rsidR="00E24650" w:rsidRPr="006B4871">
        <w:rPr>
          <w:bCs/>
          <w:color w:val="000000" w:themeColor="text1"/>
          <w:lang w:val="en-GB"/>
        </w:rPr>
        <w:t>reportedly</w:t>
      </w:r>
      <w:r w:rsidR="00414BC8" w:rsidRPr="006B4871">
        <w:rPr>
          <w:bCs/>
          <w:color w:val="000000" w:themeColor="text1"/>
          <w:lang w:val="en-GB"/>
        </w:rPr>
        <w:t xml:space="preserve"> had discovered the body of </w:t>
      </w:r>
      <w:r w:rsidR="00414BC8" w:rsidRPr="006B4871">
        <w:t xml:space="preserve">Mrs Radmila Petrušić in 2002 (see § </w:t>
      </w:r>
      <w:r w:rsidR="00757455">
        <w:fldChar w:fldCharType="begin"/>
      </w:r>
      <w:r w:rsidR="00757455">
        <w:instrText xml:space="preserve"> REF _Ref404868152 \r \h  \* MERGEFORMAT </w:instrText>
      </w:r>
      <w:r w:rsidR="00757455">
        <w:fldChar w:fldCharType="separate"/>
      </w:r>
      <w:r w:rsidR="009E21A4">
        <w:t>28</w:t>
      </w:r>
      <w:r w:rsidR="00757455">
        <w:fldChar w:fldCharType="end"/>
      </w:r>
      <w:r w:rsidR="00414BC8" w:rsidRPr="006B4871">
        <w:t xml:space="preserve"> above).</w:t>
      </w:r>
    </w:p>
    <w:p w:rsidR="008212B8" w:rsidRPr="006B4871" w:rsidRDefault="008212B8" w:rsidP="008212B8">
      <w:pPr>
        <w:suppressAutoHyphens/>
        <w:autoSpaceDE w:val="0"/>
        <w:contextualSpacing/>
        <w:jc w:val="both"/>
        <w:rPr>
          <w:bCs/>
          <w:color w:val="000000" w:themeColor="text1"/>
          <w:lang w:val="en-GB"/>
        </w:rPr>
      </w:pPr>
    </w:p>
    <w:p w:rsidR="008212B8" w:rsidRPr="006B4871" w:rsidRDefault="008212B8" w:rsidP="008212B8">
      <w:pPr>
        <w:pStyle w:val="ListParagraph"/>
        <w:numPr>
          <w:ilvl w:val="0"/>
          <w:numId w:val="2"/>
        </w:numPr>
        <w:autoSpaceDE w:val="0"/>
        <w:jc w:val="both"/>
        <w:rPr>
          <w:color w:val="000000" w:themeColor="text1"/>
          <w:lang w:val="en-GB"/>
        </w:rPr>
      </w:pPr>
      <w:r w:rsidRPr="006B4871">
        <w:rPr>
          <w:color w:val="000000" w:themeColor="text1"/>
        </w:rPr>
        <w:lastRenderedPageBreak/>
        <w:t>Coming</w:t>
      </w:r>
      <w:r w:rsidRPr="006B4871">
        <w:rPr>
          <w:color w:val="000000" w:themeColor="text1"/>
          <w:lang w:val="en-GB"/>
        </w:rPr>
        <w:t xml:space="preserve"> to the period within its jurisdiction, starting from 23 April 2005, the Panel notes that </w:t>
      </w:r>
      <w:r w:rsidRPr="006B4871">
        <w:rPr>
          <w:bCs/>
          <w:color w:val="000000" w:themeColor="text1"/>
        </w:rPr>
        <w:t>after</w:t>
      </w:r>
      <w:r w:rsidRPr="006B4871">
        <w:rPr>
          <w:color w:val="000000" w:themeColor="text1"/>
          <w:lang w:val="en-GB"/>
        </w:rPr>
        <w:t xml:space="preserve"> that critical date the failure to conduct the necessary investigative actions persisted, </w:t>
      </w:r>
      <w:r w:rsidRPr="006B4871">
        <w:rPr>
          <w:bCs/>
          <w:color w:val="000000" w:themeColor="text1"/>
          <w:lang w:val="en-GB"/>
        </w:rPr>
        <w:t>thus</w:t>
      </w:r>
      <w:r w:rsidRPr="006B4871">
        <w:rPr>
          <w:color w:val="000000" w:themeColor="text1"/>
          <w:lang w:val="en-GB"/>
        </w:rPr>
        <w:t xml:space="preserve">, in accordance with the continuing obligation to investigate (see § </w:t>
      </w:r>
      <w:r w:rsidR="00757455">
        <w:fldChar w:fldCharType="begin"/>
      </w:r>
      <w:r w:rsidR="00757455">
        <w:instrText xml:space="preserve"> REF _Ref373950745 \r \h  \* MERGEFORMAT </w:instrText>
      </w:r>
      <w:r w:rsidR="00757455">
        <w:fldChar w:fldCharType="separate"/>
      </w:r>
      <w:r w:rsidR="009E21A4" w:rsidRPr="009E21A4">
        <w:rPr>
          <w:color w:val="000000" w:themeColor="text1"/>
          <w:lang w:val="en-GB"/>
        </w:rPr>
        <w:t>70</w:t>
      </w:r>
      <w:r w:rsidR="00757455">
        <w:fldChar w:fldCharType="end"/>
      </w:r>
      <w:r w:rsidRPr="006B4871">
        <w:rPr>
          <w:color w:val="000000" w:themeColor="text1"/>
          <w:lang w:val="en-GB"/>
        </w:rPr>
        <w:t xml:space="preserve"> above), bringing the assessment of the whole investigation within the period of the Panel’s jurisdiction.</w:t>
      </w:r>
    </w:p>
    <w:p w:rsidR="008212B8" w:rsidRPr="006B4871" w:rsidRDefault="008212B8" w:rsidP="008212B8">
      <w:pPr>
        <w:tabs>
          <w:tab w:val="num" w:pos="450"/>
        </w:tabs>
        <w:rPr>
          <w:lang w:val="en-GB"/>
        </w:rPr>
      </w:pPr>
    </w:p>
    <w:p w:rsidR="008212B8" w:rsidRPr="006B4871" w:rsidRDefault="008212B8" w:rsidP="008212B8">
      <w:pPr>
        <w:pStyle w:val="ListParagraph"/>
        <w:numPr>
          <w:ilvl w:val="0"/>
          <w:numId w:val="2"/>
        </w:numPr>
        <w:autoSpaceDE w:val="0"/>
        <w:contextualSpacing/>
        <w:jc w:val="both"/>
        <w:rPr>
          <w:lang w:val="en-GB"/>
        </w:rPr>
      </w:pPr>
      <w:r w:rsidRPr="006B4871">
        <w:rPr>
          <w:lang w:val="en-GB"/>
        </w:rPr>
        <w:t xml:space="preserve">The Panel considers that, as </w:t>
      </w:r>
      <w:r w:rsidRPr="006B4871">
        <w:rPr>
          <w:color w:val="000000"/>
          <w:lang w:val="en-GB"/>
        </w:rPr>
        <w:t>the</w:t>
      </w:r>
      <w:r w:rsidRPr="006B4871">
        <w:rPr>
          <w:lang w:val="en-GB"/>
        </w:rPr>
        <w:t xml:space="preserve"> mortal remains of </w:t>
      </w:r>
      <w:r w:rsidR="006D2760" w:rsidRPr="006B4871">
        <w:t>Mr Slobodan Vujačić, Mr Luka Petrušić and Mrs Radmila Petrušić</w:t>
      </w:r>
      <w:r w:rsidR="006D2760" w:rsidRPr="006B4871">
        <w:rPr>
          <w:bCs/>
          <w:color w:val="000000" w:themeColor="text1"/>
          <w:lang w:val="en-GB"/>
        </w:rPr>
        <w:t xml:space="preserve"> </w:t>
      </w:r>
      <w:r w:rsidRPr="006B4871">
        <w:rPr>
          <w:lang w:val="en-GB"/>
        </w:rPr>
        <w:t>had not been located and those responsible for the crime had not been identified, UNMIK was obliged to use the means at its disposal to regularly review the progress of the investigation to ensure that nothing had been overlooked and any new evidence had been cons</w:t>
      </w:r>
      <w:r w:rsidR="00911BC1">
        <w:rPr>
          <w:lang w:val="en-GB"/>
        </w:rPr>
        <w:t>idered, as well as to inform their</w:t>
      </w:r>
      <w:r w:rsidRPr="006B4871">
        <w:rPr>
          <w:lang w:val="en-GB"/>
        </w:rPr>
        <w:t xml:space="preserve"> relatives regarding any possible new leads of enquiry. </w:t>
      </w:r>
    </w:p>
    <w:p w:rsidR="008212B8" w:rsidRPr="006B4871" w:rsidRDefault="008212B8" w:rsidP="006D2760">
      <w:pPr>
        <w:rPr>
          <w:lang w:val="en-GB"/>
        </w:rPr>
      </w:pPr>
    </w:p>
    <w:p w:rsidR="00855FC0" w:rsidRPr="006B4871" w:rsidRDefault="00855FC0" w:rsidP="00855FC0">
      <w:pPr>
        <w:pStyle w:val="ListParagraph"/>
        <w:numPr>
          <w:ilvl w:val="0"/>
          <w:numId w:val="2"/>
        </w:numPr>
        <w:tabs>
          <w:tab w:val="clear" w:pos="360"/>
          <w:tab w:val="num" w:pos="450"/>
          <w:tab w:val="left" w:pos="709"/>
        </w:tabs>
        <w:autoSpaceDE w:val="0"/>
        <w:ind w:left="450" w:hanging="450"/>
        <w:jc w:val="both"/>
        <w:rPr>
          <w:color w:val="000000" w:themeColor="text1"/>
          <w:lang w:val="en-GB"/>
        </w:rPr>
      </w:pPr>
      <w:bookmarkStart w:id="82" w:name="_Ref394500901"/>
      <w:bookmarkStart w:id="83" w:name="_Ref401074447"/>
      <w:bookmarkEnd w:id="81"/>
      <w:r w:rsidRPr="006B4871">
        <w:rPr>
          <w:lang w:val="en-GB"/>
        </w:rPr>
        <w:t xml:space="preserve">The </w:t>
      </w:r>
      <w:r w:rsidRPr="006B4871">
        <w:rPr>
          <w:bCs/>
          <w:lang w:val="en-GB"/>
        </w:rPr>
        <w:t>Panel</w:t>
      </w:r>
      <w:r w:rsidRPr="006B4871">
        <w:rPr>
          <w:lang w:val="en-GB"/>
        </w:rPr>
        <w:t xml:space="preserve"> notes that t</w:t>
      </w:r>
      <w:r w:rsidRPr="006B4871">
        <w:rPr>
          <w:color w:val="000000" w:themeColor="text1"/>
          <w:lang w:val="en-GB"/>
        </w:rPr>
        <w:t xml:space="preserve">here is no evidence presented in the file that any investigative activity was </w:t>
      </w:r>
      <w:r w:rsidRPr="006B4871">
        <w:rPr>
          <w:lang w:val="en-GB"/>
        </w:rPr>
        <w:t>accomplished</w:t>
      </w:r>
      <w:r w:rsidRPr="006B4871">
        <w:rPr>
          <w:color w:val="000000" w:themeColor="text1"/>
          <w:lang w:val="en-GB"/>
        </w:rPr>
        <w:t>, or even contemplated</w:t>
      </w:r>
      <w:bookmarkEnd w:id="82"/>
      <w:r w:rsidRPr="006B4871">
        <w:rPr>
          <w:color w:val="000000" w:themeColor="text1"/>
          <w:lang w:val="en-GB"/>
        </w:rPr>
        <w:t xml:space="preserve">. </w:t>
      </w:r>
      <w:r w:rsidRPr="006B4871">
        <w:rPr>
          <w:lang w:val="en-GB"/>
        </w:rPr>
        <w:t xml:space="preserve">Further, the </w:t>
      </w:r>
      <w:r w:rsidRPr="006B4871">
        <w:rPr>
          <w:bCs/>
          <w:lang w:val="en-GB"/>
        </w:rPr>
        <w:t>Panel</w:t>
      </w:r>
      <w:r w:rsidRPr="006B4871">
        <w:rPr>
          <w:lang w:val="en-GB"/>
        </w:rPr>
        <w:t xml:space="preserve"> notes with concern that, in an apparent deviation from normal WCIU procedure, there is no evidence that the investigation was ever reviewed by the WCIU, or </w:t>
      </w:r>
      <w:r w:rsidRPr="006B4871">
        <w:rPr>
          <w:color w:val="000000" w:themeColor="text1"/>
          <w:lang w:val="en-GB"/>
        </w:rPr>
        <w:t xml:space="preserve">that any further review was contemplated. </w:t>
      </w:r>
    </w:p>
    <w:p w:rsidR="00855FC0" w:rsidRPr="006B4871" w:rsidRDefault="00855FC0" w:rsidP="00855FC0">
      <w:pPr>
        <w:tabs>
          <w:tab w:val="left" w:pos="709"/>
        </w:tabs>
        <w:autoSpaceDE w:val="0"/>
        <w:jc w:val="both"/>
        <w:rPr>
          <w:color w:val="000000" w:themeColor="text1"/>
          <w:lang w:val="en-GB"/>
        </w:rPr>
      </w:pPr>
    </w:p>
    <w:p w:rsidR="00855FC0" w:rsidRPr="006B4871" w:rsidRDefault="00855FC0" w:rsidP="00855FC0">
      <w:pPr>
        <w:pStyle w:val="ListParagraph"/>
        <w:numPr>
          <w:ilvl w:val="0"/>
          <w:numId w:val="2"/>
        </w:numPr>
        <w:tabs>
          <w:tab w:val="clear" w:pos="360"/>
          <w:tab w:val="num" w:pos="450"/>
        </w:tabs>
        <w:autoSpaceDE w:val="0"/>
        <w:ind w:left="450" w:hanging="450"/>
        <w:jc w:val="both"/>
        <w:rPr>
          <w:lang w:val="en-GB"/>
        </w:rPr>
      </w:pPr>
      <w:r w:rsidRPr="006B4871">
        <w:rPr>
          <w:lang w:val="en-GB"/>
        </w:rPr>
        <w:t xml:space="preserve">The apparent lack of any </w:t>
      </w:r>
      <w:r w:rsidRPr="006B4871">
        <w:rPr>
          <w:bCs/>
        </w:rPr>
        <w:t xml:space="preserve">immediate </w:t>
      </w:r>
      <w:r w:rsidRPr="006B4871">
        <w:rPr>
          <w:lang w:val="en-GB"/>
        </w:rPr>
        <w:t>reaction from UNMIK Police, and of any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855FC0" w:rsidRPr="006B4871" w:rsidRDefault="00855FC0" w:rsidP="00855FC0">
      <w:pPr>
        <w:tabs>
          <w:tab w:val="left" w:pos="709"/>
        </w:tabs>
        <w:suppressAutoHyphens/>
        <w:autoSpaceDE w:val="0"/>
        <w:ind w:left="450"/>
        <w:jc w:val="both"/>
        <w:rPr>
          <w:lang w:val="en-GB"/>
        </w:rPr>
      </w:pPr>
    </w:p>
    <w:p w:rsidR="00855FC0" w:rsidRPr="006B4871" w:rsidRDefault="00855FC0" w:rsidP="00855FC0">
      <w:pPr>
        <w:pStyle w:val="ListParagraph"/>
        <w:numPr>
          <w:ilvl w:val="0"/>
          <w:numId w:val="2"/>
        </w:numPr>
        <w:tabs>
          <w:tab w:val="clear" w:pos="360"/>
          <w:tab w:val="num" w:pos="450"/>
        </w:tabs>
        <w:autoSpaceDE w:val="0"/>
        <w:ind w:left="450" w:hanging="450"/>
        <w:jc w:val="both"/>
        <w:rPr>
          <w:lang w:val="en-GB"/>
        </w:rPr>
      </w:pPr>
      <w:r w:rsidRPr="006B4871">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757455">
        <w:fldChar w:fldCharType="begin"/>
      </w:r>
      <w:r w:rsidR="00757455">
        <w:instrText xml:space="preserve"> REF _Ref366239979 \r \h  \* MERGEFORMAT </w:instrText>
      </w:r>
      <w:r w:rsidR="00757455">
        <w:fldChar w:fldCharType="separate"/>
      </w:r>
      <w:r w:rsidR="009E21A4" w:rsidRPr="009E21A4">
        <w:rPr>
          <w:lang w:val="en-GB"/>
        </w:rPr>
        <w:t>67</w:t>
      </w:r>
      <w:r w:rsidR="00757455">
        <w:fldChar w:fldCharType="end"/>
      </w:r>
      <w:r w:rsidRPr="006B4871">
        <w:rPr>
          <w:lang w:val="en-GB"/>
        </w:rPr>
        <w:t xml:space="preserve"> above), as required by Article 2 of the ECHR.</w:t>
      </w:r>
    </w:p>
    <w:p w:rsidR="00855FC0" w:rsidRPr="006B4871" w:rsidRDefault="00855FC0" w:rsidP="00855FC0">
      <w:pPr>
        <w:tabs>
          <w:tab w:val="left" w:pos="709"/>
        </w:tabs>
        <w:suppressAutoHyphens/>
        <w:autoSpaceDE w:val="0"/>
        <w:ind w:left="450"/>
        <w:jc w:val="both"/>
        <w:rPr>
          <w:lang w:val="en-GB"/>
        </w:rPr>
      </w:pPr>
    </w:p>
    <w:p w:rsidR="00855FC0" w:rsidRPr="006B4871" w:rsidRDefault="00855FC0" w:rsidP="00855FC0">
      <w:pPr>
        <w:numPr>
          <w:ilvl w:val="0"/>
          <w:numId w:val="2"/>
        </w:numPr>
        <w:tabs>
          <w:tab w:val="clear" w:pos="360"/>
          <w:tab w:val="left" w:pos="709"/>
        </w:tabs>
        <w:suppressAutoHyphens/>
        <w:autoSpaceDE w:val="0"/>
        <w:ind w:left="450" w:hanging="450"/>
        <w:jc w:val="both"/>
      </w:pPr>
      <w:r w:rsidRPr="006B4871">
        <w:t xml:space="preserve">As </w:t>
      </w:r>
      <w:r w:rsidRPr="006B4871">
        <w:rPr>
          <w:lang w:val="en-GB"/>
        </w:rPr>
        <w:t>concerns</w:t>
      </w:r>
      <w:r w:rsidRPr="006B4871">
        <w:rPr>
          <w:lang w:val="en-GB" w:eastAsia="en-GB"/>
        </w:rPr>
        <w:t xml:space="preserve"> the requirement of </w:t>
      </w:r>
      <w:r w:rsidRPr="006B4871">
        <w:t>public</w:t>
      </w:r>
      <w:r w:rsidRPr="006B4871">
        <w:rPr>
          <w:lang w:val="en-GB" w:eastAsia="en-GB"/>
        </w:rPr>
        <w:t xml:space="preserve"> scrutiny, the Panel recalls that Article 2 also requires </w:t>
      </w:r>
      <w:r w:rsidRPr="006B4871">
        <w:rPr>
          <w:lang w:val="en-GB"/>
        </w:rPr>
        <w:t>the</w:t>
      </w:r>
      <w:r w:rsidRPr="006B4871">
        <w:rPr>
          <w:lang w:val="en-GB" w:eastAsia="en-GB"/>
        </w:rPr>
        <w:t xml:space="preserve"> victims’ next-of-kin to be involved in the investigation to the extent necessary to safeguard his or her legitimate interests.</w:t>
      </w:r>
    </w:p>
    <w:p w:rsidR="00855FC0" w:rsidRPr="006B4871" w:rsidRDefault="00855FC0" w:rsidP="00855FC0">
      <w:pPr>
        <w:tabs>
          <w:tab w:val="left" w:pos="709"/>
        </w:tabs>
        <w:suppressAutoHyphens/>
        <w:autoSpaceDE w:val="0"/>
        <w:ind w:left="450"/>
        <w:jc w:val="both"/>
      </w:pPr>
    </w:p>
    <w:p w:rsidR="00855FC0" w:rsidRPr="006B4871" w:rsidRDefault="00855FC0" w:rsidP="00855FC0">
      <w:pPr>
        <w:numPr>
          <w:ilvl w:val="0"/>
          <w:numId w:val="2"/>
        </w:numPr>
        <w:tabs>
          <w:tab w:val="clear" w:pos="360"/>
          <w:tab w:val="left" w:pos="709"/>
        </w:tabs>
        <w:suppressAutoHyphens/>
        <w:autoSpaceDE w:val="0"/>
        <w:ind w:left="450" w:hanging="450"/>
        <w:jc w:val="both"/>
        <w:rPr>
          <w:lang w:val="en-GB"/>
        </w:rPr>
      </w:pPr>
      <w:r w:rsidRPr="006B4871">
        <w:t>The Panel notes that the investigative file indicates that the only time UNMIK Police contacted the next-of-kin of Mr Slobodan Vujačić, Mr Luka Petrušić and Mrs Radmila Petrušić</w:t>
      </w:r>
      <w:r w:rsidRPr="006B4871">
        <w:rPr>
          <w:lang w:val="en-GB"/>
        </w:rPr>
        <w:t xml:space="preserve"> was</w:t>
      </w:r>
      <w:r w:rsidR="004C44F2" w:rsidRPr="006B4871">
        <w:rPr>
          <w:lang w:val="en-GB"/>
        </w:rPr>
        <w:t xml:space="preserve"> </w:t>
      </w:r>
      <w:r w:rsidRPr="006B4871">
        <w:rPr>
          <w:lang w:val="en-GB"/>
        </w:rPr>
        <w:t>when the MPU officers took the witness statement of Mr Luka Petrušić’s brother Mr S.P. on 21 May 2002. The Panel therefore considers that the investigation was not open to any public scrutiny, as required by Article 2 of the ECHR.</w:t>
      </w:r>
    </w:p>
    <w:p w:rsidR="00AD59CE" w:rsidRPr="006B4871" w:rsidRDefault="00AD59CE" w:rsidP="00AD59CE">
      <w:pPr>
        <w:pStyle w:val="ListParagraph"/>
        <w:rPr>
          <w:lang w:val="en-GB"/>
        </w:rPr>
      </w:pPr>
    </w:p>
    <w:p w:rsidR="00AD59CE" w:rsidRPr="006B4871" w:rsidRDefault="00AD59CE" w:rsidP="00855FC0">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For its part, the Panel, in light of the shortcomings and deficiencies in the investigation described above, considers that the case of </w:t>
      </w:r>
      <w:r w:rsidRPr="006B4871">
        <w:t xml:space="preserve">Mr Slobodan Vujačić, Mr Luka Petrušić and Mrs </w:t>
      </w:r>
      <w:r w:rsidRPr="006B4871">
        <w:lastRenderedPageBreak/>
        <w:t>Radmila Petrušić</w:t>
      </w:r>
      <w:r w:rsidRPr="006B4871">
        <w:rPr>
          <w:color w:val="000000" w:themeColor="text1"/>
          <w:lang w:val="en-GB"/>
        </w:rPr>
        <w:t xml:space="preserve">, as well as other cases of killings, abductions and disappearances previously examined, well exemplify a pattern </w:t>
      </w:r>
      <w:r w:rsidRPr="006B4871">
        <w:t xml:space="preserve">of perfunctory and </w:t>
      </w:r>
      <w:r w:rsidRPr="006B4871">
        <w:rPr>
          <w:color w:val="000000" w:themeColor="text1"/>
          <w:lang w:val="en-GB"/>
        </w:rPr>
        <w:t xml:space="preserve">unproductive investigations conducted by the UNMIK Police into killings and disappearances in Kosovo (see § </w:t>
      </w:r>
      <w:r w:rsidR="00757455">
        <w:fldChar w:fldCharType="begin"/>
      </w:r>
      <w:r w:rsidR="00757455">
        <w:instrText xml:space="preserve"> REF _Ref403834230 \r \h  \* MERGEFORMAT </w:instrText>
      </w:r>
      <w:r w:rsidR="00757455">
        <w:fldChar w:fldCharType="separate"/>
      </w:r>
      <w:r w:rsidR="009E21A4" w:rsidRPr="009E21A4">
        <w:rPr>
          <w:color w:val="000000" w:themeColor="text1"/>
          <w:lang w:val="en-GB"/>
        </w:rPr>
        <w:t>83</w:t>
      </w:r>
      <w:r w:rsidR="00757455">
        <w:fldChar w:fldCharType="end"/>
      </w:r>
      <w:r w:rsidRPr="006B4871">
        <w:rPr>
          <w:color w:val="000000" w:themeColor="text1"/>
          <w:lang w:val="en-GB"/>
        </w:rPr>
        <w:t xml:space="preserve"> above; compare with HRC, </w:t>
      </w:r>
      <w:r w:rsidRPr="006B4871">
        <w:rPr>
          <w:i/>
          <w:color w:val="000000" w:themeColor="text1"/>
          <w:lang w:val="en-GB"/>
        </w:rPr>
        <w:t>Abubakar Amirov and Aïzan Amirova v. Russian Federation</w:t>
      </w:r>
      <w:r w:rsidRPr="006B4871">
        <w:rPr>
          <w:color w:val="000000" w:themeColor="text1"/>
          <w:lang w:val="en-GB"/>
        </w:rPr>
        <w:t xml:space="preserve">, cited in § </w:t>
      </w:r>
      <w:r w:rsidR="00757455">
        <w:fldChar w:fldCharType="begin"/>
      </w:r>
      <w:r w:rsidR="00757455">
        <w:instrText xml:space="preserve"> REF _Ref404685440 \r \h  \* MERGEFORMAT </w:instrText>
      </w:r>
      <w:r w:rsidR="00757455">
        <w:fldChar w:fldCharType="separate"/>
      </w:r>
      <w:r w:rsidR="009E21A4" w:rsidRPr="009E21A4">
        <w:rPr>
          <w:color w:val="000000" w:themeColor="text1"/>
          <w:lang w:val="en-GB"/>
        </w:rPr>
        <w:t>79</w:t>
      </w:r>
      <w:r w:rsidR="00757455">
        <w:fldChar w:fldCharType="end"/>
      </w:r>
      <w:r w:rsidRPr="006B4871">
        <w:rPr>
          <w:color w:val="000000" w:themeColor="text1"/>
          <w:lang w:val="en-GB"/>
        </w:rPr>
        <w:t xml:space="preserve"> above, at § 11.4</w:t>
      </w:r>
      <w:r w:rsidR="00E24650" w:rsidRPr="006B4871">
        <w:rPr>
          <w:color w:val="000000" w:themeColor="text1"/>
          <w:lang w:val="en-GB"/>
        </w:rPr>
        <w:t xml:space="preserve">; </w:t>
      </w:r>
      <w:r w:rsidR="00E24650" w:rsidRPr="006B4871">
        <w:rPr>
          <w:color w:val="000000"/>
          <w:lang w:val="en-GB"/>
        </w:rPr>
        <w:t xml:space="preserve">see also HRAP, </w:t>
      </w:r>
      <w:r w:rsidR="00E24650" w:rsidRPr="006B4871">
        <w:rPr>
          <w:i/>
          <w:color w:val="000000"/>
          <w:lang w:val="en-GB"/>
        </w:rPr>
        <w:t>Bulatović</w:t>
      </w:r>
      <w:r w:rsidR="00E24650" w:rsidRPr="006B4871">
        <w:rPr>
          <w:color w:val="000000"/>
          <w:lang w:val="en-GB"/>
        </w:rPr>
        <w:t>, no. 166/09, opinion of 13 November 2014, §§ 85 and 101)</w:t>
      </w:r>
      <w:r w:rsidRPr="006B4871">
        <w:rPr>
          <w:color w:val="000000" w:themeColor="text1"/>
          <w:lang w:val="en-GB"/>
        </w:rPr>
        <w:t>.</w:t>
      </w:r>
    </w:p>
    <w:p w:rsidR="00855FC0" w:rsidRPr="006B4871" w:rsidRDefault="00855FC0" w:rsidP="00855FC0">
      <w:pPr>
        <w:pStyle w:val="ListParagraph"/>
        <w:rPr>
          <w:lang w:val="en-GB"/>
        </w:rPr>
      </w:pPr>
    </w:p>
    <w:p w:rsidR="00E46554" w:rsidRPr="006B4871" w:rsidRDefault="00855FC0" w:rsidP="00E46554">
      <w:pPr>
        <w:numPr>
          <w:ilvl w:val="0"/>
          <w:numId w:val="2"/>
        </w:numPr>
        <w:tabs>
          <w:tab w:val="clear" w:pos="360"/>
          <w:tab w:val="left" w:pos="709"/>
        </w:tabs>
        <w:suppressAutoHyphens/>
        <w:autoSpaceDE w:val="0"/>
        <w:ind w:left="450" w:hanging="450"/>
        <w:jc w:val="both"/>
        <w:rPr>
          <w:lang w:val="en-GB"/>
        </w:rPr>
      </w:pPr>
      <w:r w:rsidRPr="006B4871">
        <w:rPr>
          <w:lang w:val="en-GB"/>
        </w:rPr>
        <w:t xml:space="preserve">In light of the </w:t>
      </w:r>
      <w:r w:rsidRPr="006B4871">
        <w:rPr>
          <w:bCs/>
        </w:rPr>
        <w:t>deficiencies</w:t>
      </w:r>
      <w:r w:rsidRPr="006B4871">
        <w:rPr>
          <w:lang w:val="en-GB"/>
        </w:rPr>
        <w:t xml:space="preserve"> and shortcomings described above, the Panel concludes that UNMIK failed to carry out an </w:t>
      </w:r>
      <w:r w:rsidRPr="006B4871">
        <w:rPr>
          <w:lang w:val="en-GB" w:eastAsia="en-GB"/>
        </w:rPr>
        <w:t>effective</w:t>
      </w:r>
      <w:r w:rsidRPr="006B4871">
        <w:rPr>
          <w:lang w:val="en-GB"/>
        </w:rPr>
        <w:t xml:space="preserve"> investigation into the </w:t>
      </w:r>
      <w:r w:rsidRPr="006B4871">
        <w:rPr>
          <w:bCs/>
          <w:lang w:val="en-GB"/>
        </w:rPr>
        <w:t>abduction</w:t>
      </w:r>
      <w:r w:rsidR="00074515" w:rsidRPr="006B4871">
        <w:rPr>
          <w:bCs/>
          <w:lang w:val="en-GB"/>
        </w:rPr>
        <w:t xml:space="preserve"> and probable killing </w:t>
      </w:r>
      <w:r w:rsidRPr="006B4871">
        <w:rPr>
          <w:bCs/>
          <w:lang w:val="en-GB"/>
        </w:rPr>
        <w:t xml:space="preserve">of </w:t>
      </w:r>
      <w:r w:rsidRPr="006B4871">
        <w:t>Mr Slobodan Vujačić, Mr Luka Petrušić and Mrs Radmila Petrušić</w:t>
      </w:r>
      <w:r w:rsidRPr="006B4871">
        <w:rPr>
          <w:lang w:val="en-GB"/>
        </w:rPr>
        <w:t>.</w:t>
      </w:r>
      <w:r w:rsidR="004C44F2" w:rsidRPr="006B4871">
        <w:rPr>
          <w:lang w:val="en-GB"/>
        </w:rPr>
        <w:t xml:space="preserve"> </w:t>
      </w:r>
      <w:r w:rsidRPr="006B4871">
        <w:rPr>
          <w:lang w:val="en-GB"/>
        </w:rPr>
        <w:t xml:space="preserve">There </w:t>
      </w:r>
      <w:r w:rsidRPr="006B4871">
        <w:rPr>
          <w:lang w:val="en-GB" w:eastAsia="en-GB"/>
        </w:rPr>
        <w:t>has</w:t>
      </w:r>
      <w:r w:rsidRPr="006B4871">
        <w:rPr>
          <w:lang w:val="en-GB"/>
        </w:rPr>
        <w:t xml:space="preserve"> accordingly been a violation of Article 2, procedural limb, of the ECHR. </w:t>
      </w:r>
    </w:p>
    <w:p w:rsidR="00E46554" w:rsidRPr="006B4871" w:rsidRDefault="00E46554" w:rsidP="00E46554">
      <w:pPr>
        <w:pStyle w:val="ListParagraph"/>
        <w:rPr>
          <w:lang w:val="en-GB"/>
        </w:rPr>
      </w:pPr>
    </w:p>
    <w:p w:rsidR="00E46554" w:rsidRPr="006B4871" w:rsidRDefault="00E46554" w:rsidP="00E46554">
      <w:pPr>
        <w:pStyle w:val="ListParagraph"/>
        <w:numPr>
          <w:ilvl w:val="0"/>
          <w:numId w:val="4"/>
        </w:numPr>
        <w:jc w:val="both"/>
        <w:rPr>
          <w:b/>
          <w:color w:val="000000" w:themeColor="text1"/>
          <w:lang w:val="en-GB"/>
        </w:rPr>
      </w:pPr>
      <w:r w:rsidRPr="006B4871">
        <w:rPr>
          <w:b/>
          <w:color w:val="000000" w:themeColor="text1"/>
          <w:lang w:val="en-GB"/>
        </w:rPr>
        <w:t>Alleged violation of Article 3 of the ECHR</w:t>
      </w:r>
    </w:p>
    <w:p w:rsidR="00E46554" w:rsidRPr="006B4871" w:rsidRDefault="00E46554" w:rsidP="00E46554">
      <w:pPr>
        <w:rPr>
          <w:color w:val="000000" w:themeColor="text1"/>
          <w:lang w:val="en-GB"/>
        </w:rPr>
      </w:pPr>
    </w:p>
    <w:p w:rsidR="00E46554" w:rsidRPr="006B4871" w:rsidRDefault="00074515" w:rsidP="00E46554">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w:t>
      </w:r>
      <w:r w:rsidRPr="006B4871">
        <w:rPr>
          <w:bCs/>
          <w:color w:val="000000" w:themeColor="text1"/>
        </w:rPr>
        <w:t>considers</w:t>
      </w:r>
      <w:r w:rsidRPr="006B4871">
        <w:rPr>
          <w:color w:val="000000" w:themeColor="text1"/>
          <w:lang w:val="en-GB"/>
        </w:rPr>
        <w:t xml:space="preserve"> that the complainant invokes, in substance, a violation of the right to be free from inhumane or degrading treatment arising out of </w:t>
      </w:r>
      <w:r w:rsidRPr="006B4871">
        <w:rPr>
          <w:color w:val="000000" w:themeColor="text1"/>
          <w:lang w:val="en-GB" w:eastAsia="en-GB"/>
        </w:rPr>
        <w:t xml:space="preserve">the abduction and probable killing </w:t>
      </w:r>
      <w:r w:rsidRPr="006B4871">
        <w:rPr>
          <w:color w:val="000000" w:themeColor="text1"/>
          <w:lang w:val="en-GB"/>
        </w:rPr>
        <w:t xml:space="preserve">of her husband, her brother and her sister-in-law, as guaranteed by Article 3 of the ECHR. </w:t>
      </w:r>
    </w:p>
    <w:p w:rsidR="00E46554" w:rsidRPr="006B4871" w:rsidRDefault="00E46554" w:rsidP="00E46554">
      <w:pPr>
        <w:tabs>
          <w:tab w:val="left" w:pos="709"/>
        </w:tabs>
        <w:suppressAutoHyphens/>
        <w:autoSpaceDE w:val="0"/>
        <w:ind w:left="450"/>
        <w:jc w:val="both"/>
        <w:rPr>
          <w:color w:val="000000" w:themeColor="text1"/>
          <w:lang w:val="en-GB"/>
        </w:rPr>
      </w:pPr>
    </w:p>
    <w:p w:rsidR="00E46554" w:rsidRPr="006B4871" w:rsidRDefault="00E46554" w:rsidP="00E46554">
      <w:pPr>
        <w:pStyle w:val="ListParagraph1"/>
        <w:numPr>
          <w:ilvl w:val="0"/>
          <w:numId w:val="17"/>
        </w:numPr>
        <w:jc w:val="both"/>
        <w:rPr>
          <w:b/>
          <w:color w:val="000000" w:themeColor="text1"/>
        </w:rPr>
      </w:pPr>
      <w:r w:rsidRPr="006B4871">
        <w:rPr>
          <w:b/>
          <w:color w:val="000000" w:themeColor="text1"/>
        </w:rPr>
        <w:t xml:space="preserve">The scope of the Panel’s review </w:t>
      </w:r>
    </w:p>
    <w:p w:rsidR="00E46554" w:rsidRPr="006B4871" w:rsidRDefault="00E46554" w:rsidP="00E46554">
      <w:pPr>
        <w:tabs>
          <w:tab w:val="left" w:pos="709"/>
        </w:tabs>
        <w:suppressAutoHyphens/>
        <w:autoSpaceDE w:val="0"/>
        <w:jc w:val="both"/>
        <w:rPr>
          <w:lang w:val="en-GB"/>
        </w:rPr>
      </w:pPr>
    </w:p>
    <w:p w:rsidR="00E46554" w:rsidRPr="006B4871" w:rsidRDefault="00074515" w:rsidP="00E46554">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will consider </w:t>
      </w:r>
      <w:r w:rsidRPr="006B4871">
        <w:rPr>
          <w:bCs/>
          <w:color w:val="000000" w:themeColor="text1"/>
        </w:rPr>
        <w:t>the</w:t>
      </w:r>
      <w:r w:rsidRPr="006B4871">
        <w:rPr>
          <w:color w:val="000000" w:themeColor="text1"/>
          <w:lang w:val="en-GB"/>
        </w:rPr>
        <w:t xml:space="preserve"> allegations under Article 3 of the ECHR, applying the same scope of review as was set out with regard to Article 2 (see §§ </w:t>
      </w:r>
      <w:r w:rsidR="00757455">
        <w:fldChar w:fldCharType="begin"/>
      </w:r>
      <w:r w:rsidR="00757455">
        <w:instrText xml:space="preserve"> REF _Ref405286013 \r \h  \* MERGEFORMAT </w:instrText>
      </w:r>
      <w:r w:rsidR="00757455">
        <w:fldChar w:fldCharType="separate"/>
      </w:r>
      <w:r w:rsidR="009E21A4" w:rsidRPr="009E21A4">
        <w:rPr>
          <w:color w:val="000000" w:themeColor="text1"/>
          <w:lang w:val="en-GB"/>
        </w:rPr>
        <w:t>33</w:t>
      </w:r>
      <w:r w:rsidR="00757455">
        <w:fldChar w:fldCharType="end"/>
      </w:r>
      <w:r w:rsidRPr="006B4871">
        <w:t>-</w:t>
      </w:r>
      <w:r w:rsidR="00757455">
        <w:fldChar w:fldCharType="begin"/>
      </w:r>
      <w:r w:rsidR="00757455">
        <w:instrText xml:space="preserve"> REF _Ref346123885 \r \h  \* MERGEFORMAT </w:instrText>
      </w:r>
      <w:r w:rsidR="00757455">
        <w:fldChar w:fldCharType="separate"/>
      </w:r>
      <w:r w:rsidR="009E21A4">
        <w:t>38</w:t>
      </w:r>
      <w:r w:rsidR="00757455">
        <w:fldChar w:fldCharType="end"/>
      </w:r>
      <w:r w:rsidRPr="006B4871">
        <w:rPr>
          <w:color w:val="000000" w:themeColor="text1"/>
          <w:lang w:val="en-GB"/>
        </w:rPr>
        <w:t xml:space="preserve"> above).</w:t>
      </w:r>
      <w:bookmarkStart w:id="84" w:name="_Ref374623030"/>
      <w:bookmarkStart w:id="85" w:name="_Ref405290617"/>
    </w:p>
    <w:p w:rsidR="00E46554" w:rsidRPr="006B4871" w:rsidRDefault="00E46554" w:rsidP="00E46554">
      <w:pPr>
        <w:pStyle w:val="ListParagraph"/>
        <w:rPr>
          <w:color w:val="000000" w:themeColor="text1"/>
          <w:lang w:val="en-GB"/>
        </w:rPr>
      </w:pPr>
    </w:p>
    <w:p w:rsidR="00E46554" w:rsidRPr="006B4871" w:rsidRDefault="00074515" w:rsidP="00E46554">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recalls that the European Court of Human Rights has found on many occasions that a situation of </w:t>
      </w:r>
      <w:r w:rsidRPr="006B4871">
        <w:rPr>
          <w:bCs/>
          <w:color w:val="000000" w:themeColor="text1"/>
        </w:rPr>
        <w:t>enforced</w:t>
      </w:r>
      <w:r w:rsidRPr="006B4871">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B4871">
        <w:rPr>
          <w:i/>
          <w:color w:val="000000" w:themeColor="text1"/>
          <w:lang w:val="en-GB"/>
        </w:rPr>
        <w:t>Çakici v. Turkey</w:t>
      </w:r>
      <w:r w:rsidRPr="006B4871">
        <w:rPr>
          <w:color w:val="000000" w:themeColor="text1"/>
          <w:lang w:val="en-GB"/>
        </w:rPr>
        <w:t xml:space="preserve">, no. 23657/94, judgment of 8 July 1999, § 98, </w:t>
      </w:r>
      <w:r w:rsidRPr="006B4871">
        <w:rPr>
          <w:i/>
          <w:color w:val="000000" w:themeColor="text1"/>
          <w:lang w:val="en-GB"/>
        </w:rPr>
        <w:t>ECHR</w:t>
      </w:r>
      <w:r w:rsidRPr="006B4871">
        <w:rPr>
          <w:color w:val="000000" w:themeColor="text1"/>
          <w:lang w:val="en-GB"/>
        </w:rPr>
        <w:t xml:space="preserve">, 1999-IV; ECtHR [GC], </w:t>
      </w:r>
      <w:r w:rsidRPr="006B4871">
        <w:rPr>
          <w:i/>
          <w:color w:val="000000" w:themeColor="text1"/>
          <w:lang w:val="en-GB"/>
        </w:rPr>
        <w:t>Cyprus v. Turkey</w:t>
      </w:r>
      <w:r w:rsidRPr="006B4871">
        <w:rPr>
          <w:color w:val="000000" w:themeColor="text1"/>
          <w:lang w:val="en-GB"/>
        </w:rPr>
        <w:t>, no. 25781/94, judgment of 10 May 2001, § 156,</w:t>
      </w:r>
      <w:r w:rsidRPr="006B4871">
        <w:rPr>
          <w:i/>
          <w:color w:val="000000" w:themeColor="text1"/>
          <w:lang w:val="en-GB"/>
        </w:rPr>
        <w:t xml:space="preserve"> ECHR</w:t>
      </w:r>
      <w:r w:rsidRPr="006B4871">
        <w:rPr>
          <w:color w:val="000000" w:themeColor="text1"/>
          <w:lang w:val="en-GB"/>
        </w:rPr>
        <w:t xml:space="preserve">, 2001-IV; ECtHR, </w:t>
      </w:r>
      <w:r w:rsidRPr="006B4871">
        <w:rPr>
          <w:i/>
          <w:color w:val="000000" w:themeColor="text1"/>
          <w:lang w:val="en-GB"/>
        </w:rPr>
        <w:t>Orhan v. Turkey</w:t>
      </w:r>
      <w:r w:rsidRPr="006B4871">
        <w:rPr>
          <w:color w:val="000000" w:themeColor="text1"/>
          <w:lang w:val="en-GB"/>
        </w:rPr>
        <w:t xml:space="preserve">, no. 25656/94, judgment of 18 June 2002, § 358; ECtHR, </w:t>
      </w:r>
      <w:r w:rsidRPr="006B4871">
        <w:rPr>
          <w:i/>
          <w:color w:val="000000" w:themeColor="text1"/>
          <w:lang w:val="en-GB"/>
        </w:rPr>
        <w:t>Bazorkina v. Russia</w:t>
      </w:r>
      <w:r w:rsidRPr="006B4871">
        <w:rPr>
          <w:color w:val="000000" w:themeColor="text1"/>
          <w:lang w:val="en-GB"/>
        </w:rPr>
        <w:t xml:space="preserve">, cited in § </w:t>
      </w:r>
      <w:r w:rsidR="00757455">
        <w:fldChar w:fldCharType="begin"/>
      </w:r>
      <w:r w:rsidR="00757455">
        <w:instrText xml:space="preserve"> REF _Ref366241459 \r \h  \* MERGEFORMAT </w:instrText>
      </w:r>
      <w:r w:rsidR="00757455">
        <w:fldChar w:fldCharType="separate"/>
      </w:r>
      <w:r w:rsidR="009E21A4" w:rsidRPr="009E21A4">
        <w:rPr>
          <w:color w:val="000000" w:themeColor="text1"/>
          <w:lang w:val="en-GB"/>
        </w:rPr>
        <w:t>78</w:t>
      </w:r>
      <w:r w:rsidR="00757455">
        <w:fldChar w:fldCharType="end"/>
      </w:r>
      <w:r w:rsidRPr="006B4871">
        <w:rPr>
          <w:color w:val="000000" w:themeColor="text1"/>
          <w:lang w:val="en-GB"/>
        </w:rPr>
        <w:t xml:space="preserve"> above, at § 139; ECtHR, </w:t>
      </w:r>
      <w:r w:rsidRPr="006B4871">
        <w:rPr>
          <w:i/>
          <w:color w:val="000000" w:themeColor="text1"/>
          <w:lang w:val="en-GB"/>
        </w:rPr>
        <w:t>Palić v. Bosnia and Herzegovina,</w:t>
      </w:r>
      <w:r w:rsidRPr="006B4871">
        <w:rPr>
          <w:color w:val="000000" w:themeColor="text1"/>
          <w:lang w:val="en-GB"/>
        </w:rPr>
        <w:t xml:space="preserve"> cited in § </w:t>
      </w:r>
      <w:r w:rsidR="00757455">
        <w:fldChar w:fldCharType="begin"/>
      </w:r>
      <w:r w:rsidR="00757455">
        <w:instrText xml:space="preserve"> REF _Ref366239979 \r \h  \* MERGEFORMAT </w:instrText>
      </w:r>
      <w:r w:rsidR="00757455">
        <w:fldChar w:fldCharType="separate"/>
      </w:r>
      <w:r w:rsidR="009E21A4" w:rsidRPr="009E21A4">
        <w:rPr>
          <w:color w:val="000000" w:themeColor="text1"/>
          <w:lang w:val="en-GB"/>
        </w:rPr>
        <w:t>67</w:t>
      </w:r>
      <w:r w:rsidR="00757455">
        <w:fldChar w:fldCharType="end"/>
      </w:r>
      <w:r w:rsidRPr="006B4871">
        <w:rPr>
          <w:color w:val="000000" w:themeColor="text1"/>
          <w:lang w:val="en-GB"/>
        </w:rPr>
        <w:t xml:space="preserve"> above, at § 74; ECtHR, </w:t>
      </w:r>
      <w:r w:rsidRPr="006B4871">
        <w:rPr>
          <w:i/>
          <w:color w:val="000000" w:themeColor="text1"/>
          <w:lang w:val="en-GB"/>
        </w:rPr>
        <w:t>Alpatu Israilova v. Russia</w:t>
      </w:r>
      <w:r w:rsidRPr="006B4871">
        <w:rPr>
          <w:color w:val="000000" w:themeColor="text1"/>
          <w:lang w:val="en-GB"/>
        </w:rPr>
        <w:t xml:space="preserve">, no. 15438/05, judgment of 14 March 2013, § 69; see also HRAP, </w:t>
      </w:r>
      <w:r w:rsidRPr="006B4871">
        <w:rPr>
          <w:i/>
          <w:color w:val="000000" w:themeColor="text1"/>
          <w:lang w:val="en-GB"/>
        </w:rPr>
        <w:t>Zdravković</w:t>
      </w:r>
      <w:r w:rsidRPr="006B4871">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6B4871">
        <w:rPr>
          <w:i/>
          <w:color w:val="000000" w:themeColor="text1"/>
          <w:lang w:val="en-GB"/>
        </w:rPr>
        <w:t>Er and Others v. Turkey</w:t>
      </w:r>
      <w:r w:rsidRPr="006B4871">
        <w:rPr>
          <w:color w:val="000000" w:themeColor="text1"/>
          <w:lang w:val="en-GB"/>
        </w:rPr>
        <w:t>, no. 23016/04, judgment of 31 July 2012, § 94).</w:t>
      </w:r>
      <w:bookmarkStart w:id="86" w:name="_Ref374623316"/>
      <w:bookmarkEnd w:id="84"/>
      <w:bookmarkEnd w:id="85"/>
    </w:p>
    <w:p w:rsidR="00E46554" w:rsidRPr="006B4871" w:rsidRDefault="00E46554" w:rsidP="00E46554">
      <w:pPr>
        <w:tabs>
          <w:tab w:val="left" w:pos="709"/>
        </w:tabs>
        <w:suppressAutoHyphens/>
        <w:autoSpaceDE w:val="0"/>
        <w:ind w:left="450"/>
        <w:jc w:val="both"/>
        <w:rPr>
          <w:lang w:val="en-GB"/>
        </w:rPr>
      </w:pPr>
    </w:p>
    <w:p w:rsidR="00AD59CE" w:rsidRPr="006B4871" w:rsidRDefault="00074515" w:rsidP="00AD59CE">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Lastly, where  </w:t>
      </w:r>
      <w:r w:rsidRPr="006B4871">
        <w:rPr>
          <w:bCs/>
          <w:color w:val="000000" w:themeColor="text1"/>
        </w:rPr>
        <w:t>mental</w:t>
      </w:r>
      <w:r w:rsidRPr="006B4871">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6B4871">
        <w:rPr>
          <w:i/>
          <w:color w:val="000000" w:themeColor="text1"/>
          <w:lang w:val="en-GB"/>
        </w:rPr>
        <w:t>Gelayevy v. Russia</w:t>
      </w:r>
      <w:r w:rsidRPr="006B4871">
        <w:rPr>
          <w:color w:val="000000" w:themeColor="text1"/>
          <w:lang w:val="en-GB"/>
        </w:rPr>
        <w:t>, no. 20216/07, judgment of 15 July 2010, §§ 147 - 148)</w:t>
      </w:r>
      <w:bookmarkStart w:id="87" w:name="_Ref374625321"/>
      <w:bookmarkEnd w:id="86"/>
      <w:r w:rsidR="00AD59CE" w:rsidRPr="006B4871">
        <w:rPr>
          <w:color w:val="000000" w:themeColor="text1"/>
          <w:lang w:val="en-GB"/>
        </w:rPr>
        <w:t>.</w:t>
      </w:r>
    </w:p>
    <w:p w:rsidR="00AD59CE" w:rsidRPr="006B4871" w:rsidRDefault="00AD59CE" w:rsidP="00AD59CE">
      <w:pPr>
        <w:pStyle w:val="ListParagraph"/>
        <w:rPr>
          <w:lang w:val="en-GB"/>
        </w:rPr>
      </w:pPr>
    </w:p>
    <w:p w:rsidR="00AD59CE" w:rsidRPr="006B4871" w:rsidRDefault="00AD59CE" w:rsidP="00AD59CE">
      <w:pPr>
        <w:pStyle w:val="ListParagraph1"/>
        <w:numPr>
          <w:ilvl w:val="0"/>
          <w:numId w:val="17"/>
        </w:numPr>
        <w:jc w:val="both"/>
        <w:rPr>
          <w:b/>
          <w:color w:val="000000" w:themeColor="text1"/>
        </w:rPr>
      </w:pPr>
      <w:r w:rsidRPr="006B4871">
        <w:rPr>
          <w:b/>
          <w:color w:val="000000" w:themeColor="text1"/>
        </w:rPr>
        <w:t xml:space="preserve">The Parties’ submissions </w:t>
      </w:r>
    </w:p>
    <w:p w:rsidR="00AD59CE" w:rsidRPr="006B4871" w:rsidRDefault="00AD59CE" w:rsidP="00AD59CE">
      <w:pPr>
        <w:rPr>
          <w:color w:val="000000" w:themeColor="text1"/>
          <w:lang w:val="en-GB"/>
        </w:rPr>
      </w:pPr>
    </w:p>
    <w:p w:rsidR="00AD59CE" w:rsidRPr="006B4871" w:rsidRDefault="00074515" w:rsidP="00AD59CE">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lastRenderedPageBreak/>
        <w:t xml:space="preserve">The complainant alleges that the lack of information and certainty surrounding the abduction and </w:t>
      </w:r>
      <w:r w:rsidR="00897CEB" w:rsidRPr="006B4871">
        <w:rPr>
          <w:color w:val="000000" w:themeColor="text1"/>
          <w:lang w:val="en-GB"/>
        </w:rPr>
        <w:t>probable killing</w:t>
      </w:r>
      <w:r w:rsidRPr="006B4871">
        <w:rPr>
          <w:color w:val="000000" w:themeColor="text1"/>
          <w:lang w:val="en-GB"/>
        </w:rPr>
        <w:t xml:space="preserve"> of </w:t>
      </w:r>
      <w:r w:rsidR="00897CEB" w:rsidRPr="006B4871">
        <w:t>Mr Slobodan Vujačić, Mr Luka Petrušić and Mrs Radmila Petrušić</w:t>
      </w:r>
      <w:r w:rsidRPr="006B4871">
        <w:rPr>
          <w:color w:val="000000" w:themeColor="text1"/>
          <w:lang w:val="en-GB"/>
        </w:rPr>
        <w:t>, particularly because of UNMIK’s fai</w:t>
      </w:r>
      <w:r w:rsidR="00897CEB" w:rsidRPr="006B4871">
        <w:rPr>
          <w:color w:val="000000" w:themeColor="text1"/>
          <w:lang w:val="en-GB"/>
        </w:rPr>
        <w:t>lure to properly investigate their</w:t>
      </w:r>
      <w:r w:rsidRPr="006B4871">
        <w:rPr>
          <w:color w:val="000000" w:themeColor="text1"/>
          <w:lang w:val="en-GB"/>
        </w:rPr>
        <w:t xml:space="preserve"> </w:t>
      </w:r>
      <w:r w:rsidR="00897CEB" w:rsidRPr="006B4871">
        <w:rPr>
          <w:color w:val="000000" w:themeColor="text1"/>
          <w:lang w:val="en-GB"/>
        </w:rPr>
        <w:t>abductions, caused mental suffering to her and her</w:t>
      </w:r>
      <w:r w:rsidRPr="006B4871">
        <w:rPr>
          <w:color w:val="000000" w:themeColor="text1"/>
          <w:lang w:val="en-GB"/>
        </w:rPr>
        <w:t xml:space="preserve"> family.</w:t>
      </w:r>
    </w:p>
    <w:p w:rsidR="00AD59CE" w:rsidRPr="006B4871" w:rsidRDefault="00AD59CE" w:rsidP="00AD59CE">
      <w:pPr>
        <w:tabs>
          <w:tab w:val="left" w:pos="709"/>
        </w:tabs>
        <w:suppressAutoHyphens/>
        <w:autoSpaceDE w:val="0"/>
        <w:ind w:left="450"/>
        <w:jc w:val="both"/>
        <w:rPr>
          <w:lang w:val="en-GB"/>
        </w:rPr>
      </w:pPr>
    </w:p>
    <w:p w:rsidR="00AD59CE" w:rsidRPr="006B4871" w:rsidRDefault="00074515" w:rsidP="00AD59CE">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 </w:t>
      </w:r>
    </w:p>
    <w:p w:rsidR="00AD59CE" w:rsidRPr="006B4871" w:rsidRDefault="00AD59CE" w:rsidP="00AD59CE">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bookmarkStart w:id="88" w:name="_Ref406232133"/>
      <w:r w:rsidRPr="006B4871">
        <w:rPr>
          <w:color w:val="000000" w:themeColor="text1"/>
          <w:lang w:val="en-GB"/>
        </w:rPr>
        <w:t xml:space="preserve">Concerning the case at issue, the SRSG acknowledges the existence of a close relationship between the complainant and </w:t>
      </w:r>
      <w:r w:rsidR="00897CEB" w:rsidRPr="006B4871">
        <w:t>Mr Slobodan Vujačić, Mr Luka Petrušić and Mrs Radmila Petrušić</w:t>
      </w:r>
      <w:r w:rsidRPr="006B4871">
        <w:rPr>
          <w:color w:val="000000" w:themeColor="text1"/>
          <w:lang w:val="en-GB"/>
        </w:rPr>
        <w:t>. He further states that it appears that the complainant did not witness the abduction, ne</w:t>
      </w:r>
      <w:r w:rsidR="00897CEB" w:rsidRPr="006B4871">
        <w:rPr>
          <w:color w:val="000000" w:themeColor="text1"/>
          <w:lang w:val="en-GB"/>
        </w:rPr>
        <w:t>ither was</w:t>
      </w:r>
      <w:r w:rsidR="00923D0C" w:rsidRPr="006B4871">
        <w:rPr>
          <w:color w:val="000000" w:themeColor="text1"/>
          <w:lang w:val="en-GB"/>
        </w:rPr>
        <w:t xml:space="preserve"> she</w:t>
      </w:r>
      <w:r w:rsidR="00897CEB" w:rsidRPr="006B4871">
        <w:rPr>
          <w:color w:val="000000" w:themeColor="text1"/>
          <w:lang w:val="en-GB"/>
        </w:rPr>
        <w:t xml:space="preserve"> “in close proximity to</w:t>
      </w:r>
      <w:r w:rsidRPr="006B4871">
        <w:rPr>
          <w:color w:val="000000" w:themeColor="text1"/>
          <w:lang w:val="en-GB"/>
        </w:rPr>
        <w:t xml:space="preserve"> the location at the time </w:t>
      </w:r>
      <w:r w:rsidR="00897CEB" w:rsidRPr="006B4871">
        <w:rPr>
          <w:color w:val="000000" w:themeColor="text1"/>
          <w:lang w:val="en-GB"/>
        </w:rPr>
        <w:t xml:space="preserve">it </w:t>
      </w:r>
      <w:r w:rsidRPr="006B4871">
        <w:rPr>
          <w:color w:val="000000" w:themeColor="text1"/>
          <w:lang w:val="en-GB"/>
        </w:rPr>
        <w:t xml:space="preserve">occurred”. With respect to the conduct of the authorities, the SRSG argues </w:t>
      </w:r>
      <w:r w:rsidRPr="006B4871">
        <w:rPr>
          <w:lang w:val="en-GB"/>
        </w:rPr>
        <w:t>that no allegations have been made by the complainant “of any bad faith on</w:t>
      </w:r>
      <w:r w:rsidR="00897CEB" w:rsidRPr="006B4871">
        <w:rPr>
          <w:lang w:val="en-GB"/>
        </w:rPr>
        <w:t xml:space="preserve"> the part of the UNMIK staff involved with</w:t>
      </w:r>
      <w:r w:rsidRPr="006B4871">
        <w:rPr>
          <w:lang w:val="en-GB"/>
        </w:rPr>
        <w:t xml:space="preserve"> the matter, nor of any attitude by UNMIK that would have evidenced</w:t>
      </w:r>
      <w:r w:rsidR="00897CEB" w:rsidRPr="006B4871">
        <w:rPr>
          <w:lang w:val="en-GB"/>
        </w:rPr>
        <w:t xml:space="preserve"> any</w:t>
      </w:r>
      <w:r w:rsidRPr="006B4871">
        <w:rPr>
          <w:lang w:val="en-GB"/>
        </w:rPr>
        <w:t xml:space="preserve"> disregard for the seriousness of the matter or the emotions of th</w:t>
      </w:r>
      <w:r w:rsidR="00897CEB" w:rsidRPr="006B4871">
        <w:rPr>
          <w:lang w:val="en-GB"/>
        </w:rPr>
        <w:t>e complainant and of her</w:t>
      </w:r>
      <w:r w:rsidRPr="006B4871">
        <w:rPr>
          <w:lang w:val="en-GB"/>
        </w:rPr>
        <w:t xml:space="preserve"> family in relati</w:t>
      </w:r>
      <w:r w:rsidR="00897CEB" w:rsidRPr="006B4871">
        <w:rPr>
          <w:lang w:val="en-GB"/>
        </w:rPr>
        <w:t>on with the disappearance of her three family members</w:t>
      </w:r>
      <w:r w:rsidRPr="006B4871">
        <w:rPr>
          <w:lang w:val="en-GB"/>
        </w:rPr>
        <w:t xml:space="preserve">”. </w:t>
      </w:r>
      <w:r w:rsidRPr="006B4871">
        <w:rPr>
          <w:color w:val="000000" w:themeColor="text1"/>
          <w:lang w:val="en-GB"/>
        </w:rPr>
        <w:t xml:space="preserve">For this reason, in the SRSG’s view, “there is no evidence </w:t>
      </w:r>
      <w:r w:rsidR="00897CEB" w:rsidRPr="006B4871">
        <w:rPr>
          <w:color w:val="000000" w:themeColor="text1"/>
          <w:lang w:val="en-GB"/>
        </w:rPr>
        <w:t>that UNMIK, when responding to i</w:t>
      </w:r>
      <w:r w:rsidRPr="006B4871">
        <w:rPr>
          <w:color w:val="000000" w:themeColor="text1"/>
          <w:lang w:val="en-GB"/>
        </w:rPr>
        <w:t>nquiries of the complainant, acted in a manner which may amount to a violation of Article</w:t>
      </w:r>
      <w:r w:rsidR="00897CEB" w:rsidRPr="006B4871">
        <w:rPr>
          <w:color w:val="000000" w:themeColor="text1"/>
          <w:lang w:val="en-GB"/>
        </w:rPr>
        <w:t xml:space="preserve"> 3</w:t>
      </w:r>
      <w:r w:rsidRPr="006B4871">
        <w:rPr>
          <w:color w:val="000000" w:themeColor="text1"/>
          <w:lang w:val="en-GB"/>
        </w:rPr>
        <w:t xml:space="preserve"> ECHR”.</w:t>
      </w:r>
      <w:bookmarkEnd w:id="88"/>
      <w:r w:rsidRPr="006B4871">
        <w:rPr>
          <w:color w:val="000000" w:themeColor="text1"/>
          <w:lang w:val="en-GB"/>
        </w:rPr>
        <w:t xml:space="preserve">  </w:t>
      </w:r>
      <w:bookmarkEnd w:id="87"/>
    </w:p>
    <w:p w:rsidR="004252FC" w:rsidRPr="006B4871" w:rsidRDefault="004252FC" w:rsidP="004252FC">
      <w:pPr>
        <w:pStyle w:val="ListParagraph"/>
        <w:rPr>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lang w:val="en-GB"/>
        </w:rPr>
        <w:t xml:space="preserve">The SRSG does not dispute the mental anguish and suffering of the complainant; however he argues that this is not attributable to UNMIK as it is rather “a result of the inherent suffering </w:t>
      </w:r>
      <w:r w:rsidR="00897CEB" w:rsidRPr="006B4871">
        <w:rPr>
          <w:lang w:val="en-GB"/>
        </w:rPr>
        <w:t>caused by</w:t>
      </w:r>
      <w:r w:rsidRPr="006B4871">
        <w:rPr>
          <w:lang w:val="en-GB"/>
        </w:rPr>
        <w:t xml:space="preserve"> the disappearance of close family member</w:t>
      </w:r>
      <w:r w:rsidR="00897CEB" w:rsidRPr="006B4871">
        <w:rPr>
          <w:lang w:val="en-GB"/>
        </w:rPr>
        <w:t>s</w:t>
      </w:r>
      <w:r w:rsidRPr="006B4871">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p>
    <w:p w:rsidR="004252FC" w:rsidRPr="006B4871" w:rsidRDefault="004252FC" w:rsidP="004252FC">
      <w:pPr>
        <w:pStyle w:val="ListParagraph"/>
        <w:rPr>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lang w:val="en-GB"/>
        </w:rPr>
        <w:t xml:space="preserve">The SRSG therefore argues that there has been no violation of Article 3. </w:t>
      </w:r>
      <w:bookmarkStart w:id="89" w:name="_Ref401074681"/>
    </w:p>
    <w:p w:rsidR="004252FC" w:rsidRPr="006B4871" w:rsidRDefault="004252FC" w:rsidP="004252FC">
      <w:pPr>
        <w:pStyle w:val="ListParagraph"/>
        <w:rPr>
          <w:lang w:val="en-GB"/>
        </w:rPr>
      </w:pPr>
    </w:p>
    <w:p w:rsidR="004252FC" w:rsidRPr="006B4871" w:rsidRDefault="004252FC" w:rsidP="004252FC">
      <w:pPr>
        <w:pStyle w:val="ListParagraph1"/>
        <w:numPr>
          <w:ilvl w:val="0"/>
          <w:numId w:val="17"/>
        </w:numPr>
        <w:jc w:val="both"/>
        <w:rPr>
          <w:b/>
          <w:color w:val="000000" w:themeColor="text1"/>
        </w:rPr>
      </w:pPr>
      <w:r w:rsidRPr="006B4871">
        <w:rPr>
          <w:b/>
          <w:color w:val="000000" w:themeColor="text1"/>
        </w:rPr>
        <w:t xml:space="preserve">The Panel’s assessment </w:t>
      </w:r>
    </w:p>
    <w:p w:rsidR="004252FC" w:rsidRPr="006B4871" w:rsidRDefault="004252FC" w:rsidP="004252FC">
      <w:pPr>
        <w:pStyle w:val="ListParagraph1"/>
        <w:ind w:left="0"/>
        <w:jc w:val="both"/>
        <w:rPr>
          <w:b/>
          <w:color w:val="000000" w:themeColor="text1"/>
        </w:rPr>
      </w:pPr>
    </w:p>
    <w:p w:rsidR="004252FC" w:rsidRPr="006B4871" w:rsidRDefault="004252FC" w:rsidP="004252FC">
      <w:pPr>
        <w:pStyle w:val="ListParagraph1"/>
        <w:numPr>
          <w:ilvl w:val="0"/>
          <w:numId w:val="16"/>
        </w:numPr>
        <w:ind w:left="360"/>
        <w:jc w:val="both"/>
        <w:rPr>
          <w:b/>
          <w:color w:val="000000" w:themeColor="text1"/>
        </w:rPr>
      </w:pPr>
      <w:r w:rsidRPr="006B4871">
        <w:rPr>
          <w:i/>
          <w:color w:val="000000" w:themeColor="text1"/>
          <w:lang w:eastAsia="en-US"/>
        </w:rPr>
        <w:t xml:space="preserve"> General principles concerning the obligation under Article 3</w:t>
      </w:r>
    </w:p>
    <w:p w:rsidR="004252FC" w:rsidRPr="006B4871" w:rsidRDefault="004252FC" w:rsidP="004252FC">
      <w:pPr>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Like Article 2, Article 3 of the ECHR enshrines one of the most fundamental values in democratic societies (ECtHR, </w:t>
      </w:r>
      <w:r w:rsidRPr="006B4871">
        <w:rPr>
          <w:i/>
          <w:color w:val="000000" w:themeColor="text1"/>
          <w:lang w:val="en-GB"/>
        </w:rPr>
        <w:t>Talat Tepe v. Turkey</w:t>
      </w:r>
      <w:r w:rsidRPr="006B4871">
        <w:rPr>
          <w:color w:val="000000" w:themeColor="text1"/>
          <w:lang w:val="en-GB"/>
        </w:rPr>
        <w:t xml:space="preserve">, no. 31247/96, 21 December 2004, § 47; ECtHR [GC], </w:t>
      </w:r>
      <w:r w:rsidRPr="006B4871">
        <w:rPr>
          <w:i/>
          <w:color w:val="000000" w:themeColor="text1"/>
          <w:lang w:val="en-GB"/>
        </w:rPr>
        <w:t>Ilaşcu and Others v. Moldova and Russia</w:t>
      </w:r>
      <w:r w:rsidRPr="006B4871">
        <w:rPr>
          <w:color w:val="000000" w:themeColor="text1"/>
          <w:lang w:val="en-GB"/>
        </w:rPr>
        <w:t xml:space="preserve">, no. 48787/99, judgment of 8 July 2004, </w:t>
      </w:r>
      <w:r w:rsidRPr="006B4871">
        <w:rPr>
          <w:i/>
          <w:color w:val="000000" w:themeColor="text1"/>
          <w:lang w:val="en-GB"/>
        </w:rPr>
        <w:t>ECHR</w:t>
      </w:r>
      <w:r w:rsidRPr="006B4871">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89"/>
    </w:p>
    <w:p w:rsidR="004252FC" w:rsidRPr="006B4871" w:rsidRDefault="004252FC" w:rsidP="004252FC">
      <w:pPr>
        <w:tabs>
          <w:tab w:val="left" w:pos="709"/>
        </w:tabs>
        <w:suppressAutoHyphens/>
        <w:autoSpaceDE w:val="0"/>
        <w:ind w:left="450"/>
        <w:jc w:val="both"/>
        <w:rPr>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lastRenderedPageBreak/>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B4871">
        <w:rPr>
          <w:i/>
          <w:color w:val="000000" w:themeColor="text1"/>
          <w:lang w:val="en-GB"/>
        </w:rPr>
        <w:t>Velásquez-Rodríguez v. Honduras</w:t>
      </w:r>
      <w:r w:rsidRPr="006B4871">
        <w:rPr>
          <w:color w:val="000000" w:themeColor="text1"/>
          <w:lang w:val="en-GB"/>
        </w:rPr>
        <w:t xml:space="preserve">, cited in § </w:t>
      </w:r>
      <w:r w:rsidR="00757455">
        <w:fldChar w:fldCharType="begin"/>
      </w:r>
      <w:r w:rsidR="00757455">
        <w:instrText xml:space="preserve"> REF _Ref405286818 \r \h  \* MERGEFORMAT </w:instrText>
      </w:r>
      <w:r w:rsidR="00757455">
        <w:fldChar w:fldCharType="separate"/>
      </w:r>
      <w:r w:rsidR="009E21A4" w:rsidRPr="009E21A4">
        <w:rPr>
          <w:color w:val="000000" w:themeColor="text1"/>
          <w:lang w:val="en-GB"/>
        </w:rPr>
        <w:t>63</w:t>
      </w:r>
      <w:r w:rsidR="00757455">
        <w:fldChar w:fldCharType="end"/>
      </w:r>
      <w:r w:rsidRPr="006B4871">
        <w:rPr>
          <w:color w:val="000000" w:themeColor="text1"/>
          <w:lang w:val="en-GB"/>
        </w:rPr>
        <w:t xml:space="preserve"> above, at § 150). </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HRC has also recognised disappearances as a serious violation of human rights. In its decision of 21 July 1983, in the case </w:t>
      </w:r>
      <w:r w:rsidRPr="006B4871">
        <w:rPr>
          <w:i/>
          <w:color w:val="000000" w:themeColor="text1"/>
          <w:lang w:val="en-GB"/>
        </w:rPr>
        <w:t>Quinteros v. Urugay</w:t>
      </w:r>
      <w:r w:rsidRPr="006B4871">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B4871">
        <w:rPr>
          <w:i/>
          <w:color w:val="000000" w:themeColor="text1"/>
          <w:lang w:val="en-GB"/>
        </w:rPr>
        <w:t>Mojica v. Dominican Republic</w:t>
      </w:r>
      <w:r w:rsidRPr="006B4871">
        <w:rPr>
          <w:color w:val="000000" w:themeColor="text1"/>
          <w:lang w:val="en-GB"/>
        </w:rPr>
        <w:t xml:space="preserve">, the HRC has deemed that “the disappearance of persons is inseparably linked to treatment that amounts to a violation of article 7 </w:t>
      </w:r>
      <w:r w:rsidRPr="006B4871">
        <w:rPr>
          <w:color w:val="000000" w:themeColor="text1"/>
          <w:lang w:val="en-GB"/>
        </w:rPr>
        <w:sym w:font="Symbol" w:char="F05B"/>
      </w:r>
      <w:r w:rsidRPr="006B4871">
        <w:rPr>
          <w:color w:val="000000" w:themeColor="text1"/>
          <w:lang w:val="en-GB"/>
        </w:rPr>
        <w:t>of the Covenant</w:t>
      </w:r>
      <w:r w:rsidRPr="006B4871">
        <w:rPr>
          <w:color w:val="000000" w:themeColor="text1"/>
          <w:lang w:val="en-GB"/>
        </w:rPr>
        <w:sym w:font="Symbol" w:char="F05D"/>
      </w:r>
      <w:r w:rsidRPr="006B4871">
        <w:rPr>
          <w:color w:val="000000" w:themeColor="text1"/>
          <w:lang w:val="en-GB"/>
        </w:rPr>
        <w:t xml:space="preserve">”, also prohibiting torture, inhumane or degrading treatment and punishment (see HRC, </w:t>
      </w:r>
      <w:r w:rsidRPr="006B4871">
        <w:rPr>
          <w:bCs/>
          <w:color w:val="000000" w:themeColor="text1"/>
          <w:lang w:val="en-GB"/>
        </w:rPr>
        <w:t xml:space="preserve">Communication No. 449/1991, U.N. Doc. CCPR/C/51/D/449/1991 (1994), </w:t>
      </w:r>
      <w:r w:rsidRPr="006B4871">
        <w:rPr>
          <w:color w:val="000000" w:themeColor="text1"/>
          <w:lang w:val="en-GB"/>
        </w:rPr>
        <w:t>§ 5.7).</w:t>
      </w:r>
      <w:bookmarkStart w:id="90" w:name="_Ref374623221"/>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B4871">
        <w:rPr>
          <w:color w:val="000000" w:themeColor="text1"/>
          <w:lang w:val="en-GB"/>
        </w:rPr>
        <w:sym w:font="Symbol" w:char="F05B"/>
      </w:r>
      <w:r w:rsidRPr="006B4871">
        <w:rPr>
          <w:color w:val="000000" w:themeColor="text1"/>
          <w:lang w:val="en-GB"/>
        </w:rPr>
        <w:t>family member</w:t>
      </w:r>
      <w:r w:rsidRPr="006B4871">
        <w:rPr>
          <w:color w:val="000000" w:themeColor="text1"/>
          <w:lang w:val="en-GB"/>
        </w:rPr>
        <w:sym w:font="Symbol" w:char="F05D"/>
      </w:r>
      <w:r w:rsidRPr="006B4871">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B4871">
        <w:rPr>
          <w:i/>
          <w:color w:val="000000" w:themeColor="text1"/>
          <w:lang w:val="en-GB"/>
        </w:rPr>
        <w:t>Basayeva and Others v. Russia</w:t>
      </w:r>
      <w:r w:rsidRPr="006B4871">
        <w:rPr>
          <w:color w:val="000000" w:themeColor="text1"/>
          <w:lang w:val="en-GB"/>
        </w:rPr>
        <w:t xml:space="preserve">, nos. 15441/05 and 20731/04, judgment of 28 May 2009, § 159; ECtHR, </w:t>
      </w:r>
      <w:r w:rsidRPr="006B4871">
        <w:rPr>
          <w:i/>
          <w:color w:val="000000" w:themeColor="text1"/>
          <w:lang w:val="en-GB"/>
        </w:rPr>
        <w:t>Er and Others v. Turkey</w:t>
      </w:r>
      <w:r w:rsidRPr="006B4871">
        <w:rPr>
          <w:color w:val="000000" w:themeColor="text1"/>
          <w:lang w:val="en-GB"/>
        </w:rPr>
        <w:t xml:space="preserve">, cited in § </w:t>
      </w:r>
      <w:r w:rsidR="00757455">
        <w:fldChar w:fldCharType="begin"/>
      </w:r>
      <w:r w:rsidR="00757455">
        <w:instrText xml:space="preserve"> REF _Ref405290617 \r \h  \* MERGEFORMAT </w:instrText>
      </w:r>
      <w:r w:rsidR="00757455">
        <w:fldChar w:fldCharType="separate"/>
      </w:r>
      <w:r w:rsidR="009E21A4" w:rsidRPr="009E21A4">
        <w:rPr>
          <w:color w:val="000000" w:themeColor="text1"/>
          <w:lang w:val="en-GB"/>
        </w:rPr>
        <w:t>105</w:t>
      </w:r>
      <w:r w:rsidR="00757455">
        <w:fldChar w:fldCharType="end"/>
      </w:r>
      <w:r w:rsidRPr="006B4871">
        <w:rPr>
          <w:color w:val="000000" w:themeColor="text1"/>
          <w:lang w:val="en-GB"/>
        </w:rPr>
        <w:t xml:space="preserve"> above, at § 94).</w:t>
      </w:r>
      <w:bookmarkEnd w:id="90"/>
    </w:p>
    <w:p w:rsidR="004252FC" w:rsidRPr="006B4871" w:rsidRDefault="004252FC" w:rsidP="004252FC">
      <w:pPr>
        <w:tabs>
          <w:tab w:val="left" w:pos="709"/>
        </w:tabs>
        <w:suppressAutoHyphens/>
        <w:autoSpaceDE w:val="0"/>
        <w:ind w:left="450"/>
        <w:jc w:val="both"/>
        <w:rPr>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B4871">
        <w:rPr>
          <w:i/>
          <w:color w:val="000000" w:themeColor="text1"/>
          <w:lang w:val="en-GB"/>
        </w:rPr>
        <w:t>Er and Others v. Turkey,</w:t>
      </w:r>
      <w:r w:rsidRPr="006B4871">
        <w:rPr>
          <w:color w:val="000000" w:themeColor="text1"/>
          <w:lang w:val="en-GB"/>
        </w:rPr>
        <w:t xml:space="preserve"> cited above, § 96; </w:t>
      </w:r>
      <w:r w:rsidRPr="006B4871">
        <w:rPr>
          <w:color w:val="000000" w:themeColor="text1"/>
          <w:lang w:val="en-GB"/>
        </w:rPr>
        <w:lastRenderedPageBreak/>
        <w:t xml:space="preserve">ECtHR, </w:t>
      </w:r>
      <w:r w:rsidRPr="006B4871">
        <w:rPr>
          <w:i/>
          <w:color w:val="000000" w:themeColor="text1"/>
          <w:lang w:val="en-GB"/>
        </w:rPr>
        <w:t>Osmanoğlu v. Turkey,</w:t>
      </w:r>
      <w:r w:rsidRPr="006B4871">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B4871">
        <w:rPr>
          <w:i/>
          <w:color w:val="000000" w:themeColor="text1"/>
          <w:lang w:val="en-GB"/>
        </w:rPr>
        <w:t>Salakhov and Islyamova v. Ukraine,</w:t>
      </w:r>
      <w:r w:rsidRPr="006B4871">
        <w:rPr>
          <w:color w:val="000000" w:themeColor="text1"/>
          <w:lang w:val="en-GB"/>
        </w:rPr>
        <w:t xml:space="preserve"> no. 28005/08, judgment of 14 March 2013, § 201).</w:t>
      </w:r>
    </w:p>
    <w:p w:rsidR="004252FC" w:rsidRPr="006B4871" w:rsidRDefault="004252FC" w:rsidP="004252FC">
      <w:pPr>
        <w:tabs>
          <w:tab w:val="left" w:pos="709"/>
        </w:tabs>
        <w:suppressAutoHyphens/>
        <w:autoSpaceDE w:val="0"/>
        <w:ind w:left="450"/>
        <w:jc w:val="both"/>
        <w:rPr>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The HRC has also considered the issue and recognised family members of disappeared or missing persons as victims of a violation of Article 7 of the Covenant: parents (</w:t>
      </w:r>
      <w:r w:rsidRPr="006B4871">
        <w:rPr>
          <w:i/>
          <w:color w:val="000000" w:themeColor="text1"/>
          <w:lang w:val="en-GB"/>
        </w:rPr>
        <w:t>Boucherf v. Algeria</w:t>
      </w:r>
      <w:r w:rsidRPr="006B4871">
        <w:rPr>
          <w:color w:val="000000" w:themeColor="text1"/>
          <w:lang w:val="en-GB"/>
        </w:rPr>
        <w:t xml:space="preserve">, </w:t>
      </w:r>
      <w:r w:rsidRPr="006B4871">
        <w:rPr>
          <w:bCs/>
          <w:color w:val="000000" w:themeColor="text1"/>
          <w:lang w:val="en-GB"/>
        </w:rPr>
        <w:t>Communication No. 1196/2003</w:t>
      </w:r>
      <w:r w:rsidRPr="006B4871">
        <w:rPr>
          <w:color w:val="000000" w:themeColor="text1"/>
          <w:lang w:val="en-GB"/>
        </w:rPr>
        <w:t>, views of 30 March 2006, § 9.7, CCPR/C/86/D/1196/2003), children (</w:t>
      </w:r>
      <w:r w:rsidRPr="006B4871">
        <w:rPr>
          <w:i/>
          <w:color w:val="000000" w:themeColor="text1"/>
          <w:lang w:val="en-GB"/>
        </w:rPr>
        <w:t>Zarzi v. Algeria</w:t>
      </w:r>
      <w:r w:rsidRPr="006B4871">
        <w:rPr>
          <w:color w:val="000000" w:themeColor="text1"/>
          <w:lang w:val="en-GB"/>
        </w:rPr>
        <w:t xml:space="preserve">, </w:t>
      </w:r>
      <w:r w:rsidRPr="006B4871">
        <w:rPr>
          <w:bCs/>
          <w:color w:val="000000" w:themeColor="text1"/>
          <w:lang w:val="en-GB"/>
        </w:rPr>
        <w:t>Communication No. 1780/2008</w:t>
      </w:r>
      <w:r w:rsidRPr="006B4871">
        <w:rPr>
          <w:color w:val="000000" w:themeColor="text1"/>
          <w:lang w:val="en-GB"/>
        </w:rPr>
        <w:t xml:space="preserve">, views of 22 March 2011, § 7.6, </w:t>
      </w:r>
      <w:r w:rsidRPr="006B4871">
        <w:rPr>
          <w:bCs/>
          <w:color w:val="000000" w:themeColor="text1"/>
          <w:lang w:val="en-GB"/>
        </w:rPr>
        <w:t>CCPR/C/101/D/1780/2008</w:t>
      </w:r>
      <w:r w:rsidRPr="006B4871">
        <w:rPr>
          <w:color w:val="000000" w:themeColor="text1"/>
          <w:lang w:val="en-GB"/>
        </w:rPr>
        <w:t>), siblings (</w:t>
      </w:r>
      <w:r w:rsidRPr="006B4871">
        <w:rPr>
          <w:i/>
          <w:color w:val="000000" w:themeColor="text1"/>
          <w:lang w:val="en-GB"/>
        </w:rPr>
        <w:t>El Abani v. Libyan Arab Jamahiriya,</w:t>
      </w:r>
      <w:r w:rsidRPr="006B4871">
        <w:rPr>
          <w:bCs/>
          <w:color w:val="000000" w:themeColor="text1"/>
          <w:lang w:val="en-GB"/>
        </w:rPr>
        <w:t>Communication No. 1640/2007</w:t>
      </w:r>
      <w:r w:rsidRPr="006B4871">
        <w:rPr>
          <w:color w:val="000000" w:themeColor="text1"/>
          <w:lang w:val="en-GB"/>
        </w:rPr>
        <w:t xml:space="preserve">, views of 26 July 2010, § 7.5, </w:t>
      </w:r>
      <w:r w:rsidRPr="006B4871">
        <w:rPr>
          <w:bCs/>
          <w:color w:val="000000" w:themeColor="text1"/>
          <w:lang w:val="en-GB"/>
        </w:rPr>
        <w:t>CCPR/C/99/D/1640/2007</w:t>
      </w:r>
      <w:r w:rsidRPr="006B4871">
        <w:rPr>
          <w:color w:val="000000" w:themeColor="text1"/>
          <w:lang w:val="en-GB"/>
        </w:rPr>
        <w:t>), spouses (</w:t>
      </w:r>
      <w:r w:rsidRPr="006B4871">
        <w:rPr>
          <w:i/>
          <w:color w:val="000000" w:themeColor="text1"/>
          <w:lang w:val="en-GB"/>
        </w:rPr>
        <w:t>Bousroual v. Algeria</w:t>
      </w:r>
      <w:r w:rsidRPr="006B4871">
        <w:rPr>
          <w:color w:val="000000" w:themeColor="text1"/>
          <w:lang w:val="en-GB"/>
        </w:rPr>
        <w:t xml:space="preserve">, </w:t>
      </w:r>
      <w:r w:rsidRPr="006B4871">
        <w:rPr>
          <w:bCs/>
          <w:color w:val="000000" w:themeColor="text1"/>
          <w:lang w:val="en-GB"/>
        </w:rPr>
        <w:t>Communication No. 992/2001, views of</w:t>
      </w:r>
      <w:r w:rsidRPr="006B4871">
        <w:rPr>
          <w:color w:val="000000" w:themeColor="text1"/>
          <w:lang w:val="en-GB"/>
        </w:rPr>
        <w:t xml:space="preserve"> 30 March 2006, § 9.8, CCPR/C/86/D/992/2001), aunts and uncles (</w:t>
      </w:r>
      <w:r w:rsidRPr="006B4871">
        <w:rPr>
          <w:i/>
          <w:color w:val="000000" w:themeColor="text1"/>
          <w:lang w:val="en-GB"/>
        </w:rPr>
        <w:t>Benaniza v Algeria,</w:t>
      </w:r>
      <w:r w:rsidRPr="006B4871">
        <w:rPr>
          <w:color w:val="000000" w:themeColor="text1"/>
          <w:lang w:val="en-GB"/>
        </w:rPr>
        <w:t xml:space="preserve"> views of 26 July 2010, § 9.4, CCPR/C/99/D/1588/2007) (</w:t>
      </w:r>
      <w:r w:rsidRPr="006B4871">
        <w:rPr>
          <w:i/>
          <w:color w:val="000000" w:themeColor="text1"/>
          <w:lang w:val="en-GB"/>
        </w:rPr>
        <w:t>Bashasha v. Libyan Arab Jamahiriya</w:t>
      </w:r>
      <w:r w:rsidRPr="006B4871">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B4871">
        <w:rPr>
          <w:i/>
          <w:color w:val="000000" w:themeColor="text1"/>
          <w:lang w:val="en-GB"/>
        </w:rPr>
        <w:t>Aboussedra v. Libyan Arab Jamahiriya</w:t>
      </w:r>
      <w:r w:rsidRPr="006B4871">
        <w:rPr>
          <w:color w:val="000000" w:themeColor="text1"/>
          <w:lang w:val="en-GB"/>
        </w:rPr>
        <w:t xml:space="preserve">, </w:t>
      </w:r>
      <w:r w:rsidRPr="006B4871">
        <w:rPr>
          <w:bCs/>
          <w:color w:val="000000" w:themeColor="text1"/>
          <w:lang w:val="en-GB"/>
        </w:rPr>
        <w:t>Communication No. 1751/2008,</w:t>
      </w:r>
      <w:r w:rsidRPr="006B4871">
        <w:rPr>
          <w:color w:val="000000" w:themeColor="text1"/>
          <w:lang w:val="en-GB"/>
        </w:rPr>
        <w:t xml:space="preserve"> views of 25 October 2010, § 7.5, </w:t>
      </w:r>
      <w:r w:rsidRPr="006B4871">
        <w:rPr>
          <w:bCs/>
          <w:color w:val="000000" w:themeColor="text1"/>
          <w:lang w:val="en-GB"/>
        </w:rPr>
        <w:t>CCPR/C/100/D/1751/2008</w:t>
      </w:r>
      <w:r w:rsidRPr="006B4871">
        <w:rPr>
          <w:color w:val="000000" w:themeColor="text1"/>
          <w:lang w:val="en-GB"/>
        </w:rPr>
        <w:t xml:space="preserve">). In the case </w:t>
      </w:r>
      <w:r w:rsidRPr="006B4871">
        <w:rPr>
          <w:i/>
          <w:color w:val="000000" w:themeColor="text1"/>
          <w:lang w:val="en-GB"/>
        </w:rPr>
        <w:t>Amirov v. Russian Federation</w:t>
      </w:r>
      <w:r w:rsidRPr="006B4871">
        <w:rPr>
          <w:color w:val="000000" w:themeColor="text1"/>
          <w:lang w:val="en-GB"/>
        </w:rPr>
        <w:t xml:space="preserve"> the Committee observed that “</w:t>
      </w:r>
      <w:r w:rsidRPr="006B4871">
        <w:rPr>
          <w:color w:val="000000" w:themeColor="text1"/>
          <w:lang w:val="en-GB"/>
        </w:rPr>
        <w:sym w:font="Symbol" w:char="F05B"/>
      </w:r>
      <w:r w:rsidRPr="006B4871">
        <w:rPr>
          <w:color w:val="000000" w:themeColor="text1"/>
          <w:lang w:val="en-GB"/>
        </w:rPr>
        <w:t>w</w:t>
      </w:r>
      <w:r w:rsidRPr="006B4871">
        <w:rPr>
          <w:color w:val="000000" w:themeColor="text1"/>
          <w:lang w:val="en-GB"/>
        </w:rPr>
        <w:sym w:font="Symbol" w:char="F05D"/>
      </w:r>
      <w:r w:rsidRPr="006B4871">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5C7EC0" w:rsidRPr="006B4871">
        <w:rPr>
          <w:color w:val="000000" w:themeColor="text1"/>
          <w:lang w:val="en-GB"/>
        </w:rPr>
        <w:t>led</w:t>
      </w:r>
      <w:r w:rsidRPr="006B4871">
        <w:rPr>
          <w:color w:val="000000" w:themeColor="text1"/>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B4871">
        <w:rPr>
          <w:i/>
          <w:color w:val="000000" w:themeColor="text1"/>
          <w:lang w:val="en-GB"/>
        </w:rPr>
        <w:t>Abubakar Amirov and Aïzan Amirova v. Russian Federation</w:t>
      </w:r>
      <w:r w:rsidRPr="006B4871">
        <w:rPr>
          <w:color w:val="000000" w:themeColor="text1"/>
          <w:lang w:val="en-GB"/>
        </w:rPr>
        <w:t xml:space="preserve">, cited in § </w:t>
      </w:r>
      <w:r w:rsidR="00757455">
        <w:fldChar w:fldCharType="begin"/>
      </w:r>
      <w:r w:rsidR="00757455">
        <w:instrText xml:space="preserve"> REF _Ref404685440 \r \h  \* MERGEFORMAT </w:instrText>
      </w:r>
      <w:r w:rsidR="00757455">
        <w:fldChar w:fldCharType="separate"/>
      </w:r>
      <w:r w:rsidR="009E21A4" w:rsidRPr="009E21A4">
        <w:rPr>
          <w:color w:val="000000" w:themeColor="text1"/>
          <w:lang w:val="en-GB"/>
        </w:rPr>
        <w:t>79</w:t>
      </w:r>
      <w:r w:rsidR="00757455">
        <w:fldChar w:fldCharType="end"/>
      </w:r>
      <w:r w:rsidRPr="006B4871">
        <w:rPr>
          <w:color w:val="000000" w:themeColor="text1"/>
          <w:lang w:val="en-GB"/>
        </w:rPr>
        <w:t xml:space="preserve"> above, at § 11.7).</w:t>
      </w:r>
    </w:p>
    <w:p w:rsidR="004252FC" w:rsidRPr="006B4871" w:rsidRDefault="004252FC" w:rsidP="004252FC">
      <w:pPr>
        <w:tabs>
          <w:tab w:val="left" w:pos="709"/>
        </w:tabs>
        <w:suppressAutoHyphens/>
        <w:autoSpaceDE w:val="0"/>
        <w:ind w:left="450"/>
        <w:jc w:val="both"/>
        <w:rPr>
          <w:lang w:val="en-GB"/>
        </w:rPr>
      </w:pPr>
    </w:p>
    <w:p w:rsidR="004252FC" w:rsidRPr="006B4871" w:rsidRDefault="005C7EC0"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B4871">
        <w:rPr>
          <w:i/>
          <w:color w:val="000000" w:themeColor="text1"/>
          <w:lang w:val="en-GB"/>
        </w:rPr>
        <w:t>Açiș v. Turkey</w:t>
      </w:r>
      <w:r w:rsidRPr="006B4871">
        <w:rPr>
          <w:color w:val="000000" w:themeColor="text1"/>
          <w:lang w:val="en-GB"/>
        </w:rPr>
        <w:t>, no. 7050/05, judgment of 1 February 2011, § 45).</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6B4871">
        <w:rPr>
          <w:i/>
          <w:color w:val="000000" w:themeColor="text1"/>
          <w:lang w:val="en-GB"/>
        </w:rPr>
        <w:t>Basayeva and Others v. Russia</w:t>
      </w:r>
      <w:r w:rsidRPr="006B4871">
        <w:rPr>
          <w:color w:val="000000" w:themeColor="text1"/>
          <w:lang w:val="en-GB"/>
        </w:rPr>
        <w:t xml:space="preserve">, cited in § </w:t>
      </w:r>
      <w:r w:rsidR="00757455">
        <w:fldChar w:fldCharType="begin"/>
      </w:r>
      <w:r w:rsidR="00757455">
        <w:instrText xml:space="preserve"> REF _Ref374623221 \r \h  \* MERGEFORMAT </w:instrText>
      </w:r>
      <w:r w:rsidR="00757455">
        <w:fldChar w:fldCharType="separate"/>
      </w:r>
      <w:r w:rsidR="009E21A4" w:rsidRPr="009E21A4">
        <w:rPr>
          <w:color w:val="000000" w:themeColor="text1"/>
          <w:lang w:val="en-GB"/>
        </w:rPr>
        <w:t>116</w:t>
      </w:r>
      <w:r w:rsidR="00757455">
        <w:fldChar w:fldCharType="end"/>
      </w:r>
      <w:r w:rsidRPr="006B4871">
        <w:rPr>
          <w:color w:val="000000" w:themeColor="text1"/>
          <w:lang w:val="en-GB"/>
        </w:rPr>
        <w:t xml:space="preserve"> above, at § 109; ECtHR, </w:t>
      </w:r>
      <w:r w:rsidRPr="006B4871">
        <w:rPr>
          <w:i/>
          <w:color w:val="000000" w:themeColor="text1"/>
          <w:lang w:val="en-GB"/>
        </w:rPr>
        <w:t>Gelayevy v. Russia</w:t>
      </w:r>
      <w:r w:rsidRPr="006B4871">
        <w:rPr>
          <w:color w:val="000000" w:themeColor="text1"/>
          <w:lang w:val="en-GB"/>
        </w:rPr>
        <w:t xml:space="preserve">, cited in § </w:t>
      </w:r>
      <w:r w:rsidR="00757455">
        <w:fldChar w:fldCharType="begin"/>
      </w:r>
      <w:r w:rsidR="00757455">
        <w:instrText xml:space="preserve"> REF _Ref374623316 \r \h  \* MERGEFORMAT </w:instrText>
      </w:r>
      <w:r w:rsidR="00757455">
        <w:fldChar w:fldCharType="separate"/>
      </w:r>
      <w:r w:rsidR="009E21A4" w:rsidRPr="009E21A4">
        <w:rPr>
          <w:color w:val="000000" w:themeColor="text1"/>
          <w:lang w:val="en-GB"/>
        </w:rPr>
        <w:t>106</w:t>
      </w:r>
      <w:r w:rsidR="00757455">
        <w:fldChar w:fldCharType="end"/>
      </w:r>
      <w:r w:rsidRPr="006B4871">
        <w:rPr>
          <w:color w:val="000000" w:themeColor="text1"/>
          <w:lang w:val="en-GB"/>
        </w:rPr>
        <w:t xml:space="preserve"> above, at § 147; ECtHR, </w:t>
      </w:r>
      <w:r w:rsidRPr="006B4871">
        <w:rPr>
          <w:i/>
          <w:color w:val="000000" w:themeColor="text1"/>
          <w:lang w:val="en-GB"/>
        </w:rPr>
        <w:t>Bazorkina v. Russia</w:t>
      </w:r>
      <w:r w:rsidRPr="006B4871">
        <w:rPr>
          <w:color w:val="000000" w:themeColor="text1"/>
          <w:lang w:val="en-GB"/>
        </w:rPr>
        <w:t xml:space="preserve">, cited in § </w:t>
      </w:r>
      <w:r w:rsidR="00757455">
        <w:fldChar w:fldCharType="begin"/>
      </w:r>
      <w:r w:rsidR="00757455">
        <w:instrText xml:space="preserve"> REF _Ref366241459 \r \h  \* MERGEFORMAT </w:instrText>
      </w:r>
      <w:r w:rsidR="00757455">
        <w:fldChar w:fldCharType="separate"/>
      </w:r>
      <w:r w:rsidR="009E21A4" w:rsidRPr="009E21A4">
        <w:rPr>
          <w:color w:val="000000" w:themeColor="text1"/>
          <w:lang w:val="en-GB"/>
        </w:rPr>
        <w:t>78</w:t>
      </w:r>
      <w:r w:rsidR="00757455">
        <w:fldChar w:fldCharType="end"/>
      </w:r>
      <w:r w:rsidRPr="006B4871">
        <w:rPr>
          <w:color w:val="000000" w:themeColor="text1"/>
          <w:lang w:val="en-GB"/>
        </w:rPr>
        <w:t xml:space="preserve"> above, at § 140).</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lastRenderedPageBreak/>
        <w:t xml:space="preserve">The Panel observes that the European Court has already found violations of Article 3 of the ECHR in relation to disappearances in which the State itself was found to be responsible for the abduction (see ECtHR, </w:t>
      </w:r>
      <w:r w:rsidRPr="006B4871">
        <w:rPr>
          <w:i/>
          <w:color w:val="000000" w:themeColor="text1"/>
          <w:lang w:val="en-GB"/>
        </w:rPr>
        <w:t>Luluyev and Others v. Russia</w:t>
      </w:r>
      <w:r w:rsidRPr="006B4871">
        <w:rPr>
          <w:color w:val="000000" w:themeColor="text1"/>
          <w:lang w:val="en-GB"/>
        </w:rPr>
        <w:t xml:space="preserve">, no. 69480/01, judgment of 9 November 2006, §§ 117 - 118; ECtHR, </w:t>
      </w:r>
      <w:r w:rsidRPr="006B4871">
        <w:rPr>
          <w:i/>
          <w:color w:val="000000" w:themeColor="text1"/>
          <w:lang w:val="en-GB"/>
        </w:rPr>
        <w:t>Kukayev v. Russia</w:t>
      </w:r>
      <w:r w:rsidRPr="006B4871">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B4871">
        <w:rPr>
          <w:rStyle w:val="sb8d990e2"/>
          <w:color w:val="000000" w:themeColor="text1"/>
          <w:lang w:val="en-GB"/>
        </w:rPr>
        <w:t>could have in itself</w:t>
      </w:r>
      <w:r w:rsidRPr="006B4871">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6B4871">
        <w:rPr>
          <w:i/>
          <w:color w:val="000000" w:themeColor="text1"/>
          <w:lang w:val="en-GB"/>
        </w:rPr>
        <w:t>Tovsultanova v. Russia</w:t>
      </w:r>
      <w:r w:rsidRPr="006B4871">
        <w:rPr>
          <w:color w:val="000000" w:themeColor="text1"/>
          <w:lang w:val="en-GB"/>
        </w:rPr>
        <w:t xml:space="preserve">, no. 26974/06, judgment of 17 June 2010, § 104; ECtHR, </w:t>
      </w:r>
      <w:r w:rsidRPr="006B4871">
        <w:rPr>
          <w:i/>
          <w:color w:val="000000" w:themeColor="text1"/>
          <w:lang w:val="en-GB"/>
        </w:rPr>
        <w:t>Shafiyeva v. Russia</w:t>
      </w:r>
      <w:r w:rsidRPr="006B4871">
        <w:rPr>
          <w:color w:val="000000" w:themeColor="text1"/>
          <w:lang w:val="en-GB"/>
        </w:rPr>
        <w:t>, no. 49379/09, judgment of 3 May 2012, § 103).</w:t>
      </w:r>
    </w:p>
    <w:p w:rsidR="004252FC" w:rsidRPr="006B4871" w:rsidRDefault="004252FC" w:rsidP="004252FC">
      <w:pPr>
        <w:pStyle w:val="ListParagraph"/>
        <w:rPr>
          <w:lang w:val="en-GB"/>
        </w:rPr>
      </w:pPr>
    </w:p>
    <w:p w:rsidR="004252FC" w:rsidRPr="006B4871" w:rsidRDefault="004252FC" w:rsidP="004252FC">
      <w:pPr>
        <w:pStyle w:val="ListParagraph1"/>
        <w:numPr>
          <w:ilvl w:val="0"/>
          <w:numId w:val="16"/>
        </w:numPr>
        <w:ind w:left="360"/>
        <w:jc w:val="both"/>
        <w:rPr>
          <w:i/>
          <w:color w:val="000000" w:themeColor="text1"/>
          <w:lang w:eastAsia="en-US"/>
        </w:rPr>
      </w:pPr>
      <w:r w:rsidRPr="006B4871">
        <w:rPr>
          <w:i/>
          <w:color w:val="000000" w:themeColor="text1"/>
          <w:lang w:eastAsia="en-US"/>
        </w:rPr>
        <w:t>Applicability of Article 3 to the Kosovo context</w:t>
      </w:r>
    </w:p>
    <w:p w:rsidR="004252FC" w:rsidRPr="006B4871" w:rsidRDefault="004252FC" w:rsidP="004252FC">
      <w:pPr>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With regard to the </w:t>
      </w:r>
      <w:r w:rsidRPr="006B4871">
        <w:rPr>
          <w:rStyle w:val="sb8d990e2"/>
          <w:color w:val="000000" w:themeColor="text1"/>
        </w:rPr>
        <w:t>applicability</w:t>
      </w:r>
      <w:r w:rsidRPr="006B4871">
        <w:rPr>
          <w:color w:val="000000" w:themeColor="text1"/>
          <w:lang w:val="en-GB"/>
        </w:rPr>
        <w:t xml:space="preserve"> of the above standards to the Kosovo context, the Panel first refers to its view on the same issue with regard to Article 2, developed above (see §§ </w:t>
      </w:r>
      <w:r w:rsidR="00757455">
        <w:fldChar w:fldCharType="begin"/>
      </w:r>
      <w:r w:rsidR="00757455">
        <w:instrText xml:space="preserve"> REF _Ref366163783 \r \h  \* MERGEFORMAT </w:instrText>
      </w:r>
      <w:r w:rsidR="00757455">
        <w:fldChar w:fldCharType="separate"/>
      </w:r>
      <w:r w:rsidR="009E21A4" w:rsidRPr="009E21A4">
        <w:rPr>
          <w:color w:val="000000" w:themeColor="text1"/>
          <w:lang w:val="en-GB"/>
        </w:rPr>
        <w:t>73</w:t>
      </w:r>
      <w:r w:rsidR="00757455">
        <w:fldChar w:fldCharType="end"/>
      </w:r>
      <w:r w:rsidRPr="006B4871">
        <w:t xml:space="preserve"> -</w:t>
      </w:r>
      <w:r w:rsidRPr="006B4871">
        <w:rPr>
          <w:color w:val="000000" w:themeColor="text1"/>
          <w:lang w:val="en-GB"/>
        </w:rPr>
        <w:t xml:space="preserve"> </w:t>
      </w:r>
      <w:r w:rsidR="00757455">
        <w:fldChar w:fldCharType="begin"/>
      </w:r>
      <w:r w:rsidR="00757455">
        <w:instrText xml:space="preserve"> REF _Ref403834230 \r \h  \* MERGEFORMAT </w:instrText>
      </w:r>
      <w:r w:rsidR="00757455">
        <w:fldChar w:fldCharType="separate"/>
      </w:r>
      <w:r w:rsidR="009E21A4" w:rsidRPr="009E21A4">
        <w:rPr>
          <w:color w:val="000000" w:themeColor="text1"/>
          <w:lang w:val="en-GB"/>
        </w:rPr>
        <w:t>83</w:t>
      </w:r>
      <w:r w:rsidR="00757455">
        <w:fldChar w:fldCharType="end"/>
      </w:r>
      <w:r w:rsidRPr="006B4871">
        <w:rPr>
          <w:color w:val="000000" w:themeColor="text1"/>
          <w:lang w:val="en-GB"/>
        </w:rPr>
        <w:t xml:space="preserve"> above).</w:t>
      </w:r>
    </w:p>
    <w:p w:rsidR="004252FC" w:rsidRPr="006B4871" w:rsidRDefault="004252FC" w:rsidP="004252FC">
      <w:pPr>
        <w:tabs>
          <w:tab w:val="left" w:pos="709"/>
        </w:tabs>
        <w:suppressAutoHyphens/>
        <w:autoSpaceDE w:val="0"/>
        <w:ind w:left="450"/>
        <w:jc w:val="both"/>
        <w:rPr>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757455">
        <w:fldChar w:fldCharType="begin"/>
      </w:r>
      <w:r w:rsidR="00757455">
        <w:instrText xml:space="preserve"> REF _Ref346123767 \r \h  \* MERGEFORMAT </w:instrText>
      </w:r>
      <w:r w:rsidR="00757455">
        <w:fldChar w:fldCharType="separate"/>
      </w:r>
      <w:r w:rsidR="009E21A4" w:rsidRPr="009E21A4">
        <w:rPr>
          <w:color w:val="000000" w:themeColor="text1"/>
          <w:lang w:val="en-GB"/>
        </w:rPr>
        <w:t>15</w:t>
      </w:r>
      <w:r w:rsidR="00757455">
        <w:fldChar w:fldCharType="end"/>
      </w:r>
      <w:r w:rsidRPr="006B4871">
        <w:rPr>
          <w:color w:val="000000" w:themeColor="text1"/>
          <w:lang w:val="en-GB"/>
        </w:rPr>
        <w:t xml:space="preserve"> above).</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again notes that it will not review relevant practices or alleged obstacles to the conduct of effective investigations </w:t>
      </w:r>
      <w:r w:rsidRPr="006B4871">
        <w:rPr>
          <w:i/>
          <w:color w:val="000000" w:themeColor="text1"/>
          <w:lang w:val="en-GB"/>
        </w:rPr>
        <w:t>in abstracto</w:t>
      </w:r>
      <w:r w:rsidRPr="006B4871">
        <w:rPr>
          <w:color w:val="000000" w:themeColor="text1"/>
          <w:lang w:val="en-GB"/>
        </w:rPr>
        <w:t>, but only in relation to their specific application to the complaint before it, considering the particular circumstances of the case.</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4252FC" w:rsidRPr="006B4871" w:rsidRDefault="004252FC" w:rsidP="004252FC">
      <w:pPr>
        <w:pStyle w:val="ListParagraph"/>
        <w:rPr>
          <w:lang w:val="en-GB"/>
        </w:rPr>
      </w:pPr>
    </w:p>
    <w:p w:rsidR="004252FC" w:rsidRPr="006B4871" w:rsidRDefault="004252FC" w:rsidP="004252FC">
      <w:pPr>
        <w:pStyle w:val="ListParagraph1"/>
        <w:numPr>
          <w:ilvl w:val="0"/>
          <w:numId w:val="16"/>
        </w:numPr>
        <w:ind w:left="360"/>
        <w:jc w:val="both"/>
        <w:rPr>
          <w:color w:val="000000" w:themeColor="text1"/>
        </w:rPr>
      </w:pPr>
      <w:r w:rsidRPr="006B4871">
        <w:rPr>
          <w:i/>
          <w:color w:val="000000" w:themeColor="text1"/>
          <w:lang w:eastAsia="en-US"/>
        </w:rPr>
        <w:t>Compliance</w:t>
      </w:r>
      <w:r w:rsidRPr="006B4871">
        <w:rPr>
          <w:i/>
          <w:color w:val="000000" w:themeColor="text1"/>
        </w:rPr>
        <w:t xml:space="preserve"> with Article 3 in the present case</w:t>
      </w:r>
    </w:p>
    <w:p w:rsidR="004252FC" w:rsidRPr="006B4871" w:rsidRDefault="004252FC" w:rsidP="00BC0F87">
      <w:pPr>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Against this background, the Panel discerns a number of factors in the present case which, taken together, raise the question of violation of Article 3 of the ECHR.</w:t>
      </w:r>
    </w:p>
    <w:p w:rsidR="004252FC" w:rsidRPr="006B4871" w:rsidRDefault="004252FC" w:rsidP="004252FC">
      <w:pPr>
        <w:tabs>
          <w:tab w:val="left" w:pos="709"/>
        </w:tabs>
        <w:suppressAutoHyphens/>
        <w:autoSpaceDE w:val="0"/>
        <w:ind w:left="450"/>
        <w:jc w:val="both"/>
        <w:rPr>
          <w:lang w:val="en-GB"/>
        </w:rPr>
      </w:pPr>
    </w:p>
    <w:p w:rsidR="004252FC" w:rsidRPr="006B4871" w:rsidRDefault="005C7EC0"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lastRenderedPageBreak/>
        <w:t>The Panel notes the proximity of the family ties between the complainant and the victims</w:t>
      </w:r>
      <w:r w:rsidRPr="006B4871">
        <w:rPr>
          <w:color w:val="000000" w:themeColor="text1"/>
        </w:rPr>
        <w:t xml:space="preserve">, as she is </w:t>
      </w:r>
      <w:r w:rsidRPr="006B4871">
        <w:t>the wife of Mr Slobodan Vujačić, the sister of Mr Luka Petrušić and the sister-in-law of Mrs Radmila Petrušić</w:t>
      </w:r>
      <w:r w:rsidRPr="006B4871">
        <w:rPr>
          <w:color w:val="000000" w:themeColor="text1"/>
        </w:rPr>
        <w:t>.</w:t>
      </w:r>
      <w:r w:rsidRPr="006B4871">
        <w:rPr>
          <w:color w:val="000000" w:themeColor="text1"/>
          <w:lang w:val="en-GB"/>
        </w:rPr>
        <w:t xml:space="preserve"> </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4252FC" w:rsidRPr="006B4871" w:rsidRDefault="004252FC" w:rsidP="004252FC">
      <w:pPr>
        <w:pStyle w:val="ListParagraph"/>
        <w:rPr>
          <w:color w:val="000000"/>
          <w:lang w:val="en-GB"/>
        </w:rPr>
      </w:pPr>
    </w:p>
    <w:p w:rsidR="004252FC" w:rsidRPr="006B4871" w:rsidRDefault="00CC7D20" w:rsidP="004252FC">
      <w:pPr>
        <w:numPr>
          <w:ilvl w:val="0"/>
          <w:numId w:val="2"/>
        </w:numPr>
        <w:tabs>
          <w:tab w:val="clear" w:pos="360"/>
          <w:tab w:val="left" w:pos="709"/>
        </w:tabs>
        <w:suppressAutoHyphens/>
        <w:autoSpaceDE w:val="0"/>
        <w:ind w:left="450" w:hanging="450"/>
        <w:jc w:val="both"/>
        <w:rPr>
          <w:lang w:val="en-GB"/>
        </w:rPr>
      </w:pPr>
      <w:r w:rsidRPr="006B4871">
        <w:rPr>
          <w:color w:val="000000"/>
          <w:lang w:val="en-GB"/>
        </w:rPr>
        <w:t xml:space="preserve">As was shown above with regard to Article 2, no proper investigation was conducted in this </w:t>
      </w:r>
      <w:r w:rsidRPr="006B4871">
        <w:rPr>
          <w:lang w:val="en-GB"/>
        </w:rPr>
        <w:t>case</w:t>
      </w:r>
      <w:r w:rsidRPr="006B4871">
        <w:rPr>
          <w:color w:val="000000"/>
          <w:lang w:val="en-GB"/>
        </w:rPr>
        <w:t xml:space="preserve">. The only recorded contact between the complainant’s family and UNMIK authorities were when she contacted the MPU investigator in June 2000 to give information about the abductions of her relatives (see § </w:t>
      </w:r>
      <w:r w:rsidR="00757455">
        <w:fldChar w:fldCharType="begin"/>
      </w:r>
      <w:r w:rsidR="00757455">
        <w:instrText xml:space="preserve"> REF _Ref405279350 \r \h  \* MERGEFORMAT </w:instrText>
      </w:r>
      <w:r w:rsidR="00757455">
        <w:fldChar w:fldCharType="separate"/>
      </w:r>
      <w:r w:rsidR="009E21A4" w:rsidRPr="009E21A4">
        <w:rPr>
          <w:color w:val="000000"/>
          <w:lang w:val="en-GB"/>
        </w:rPr>
        <w:t>25</w:t>
      </w:r>
      <w:r w:rsidR="00757455">
        <w:fldChar w:fldCharType="end"/>
      </w:r>
      <w:r w:rsidRPr="006B4871">
        <w:rPr>
          <w:color w:val="000000"/>
          <w:lang w:val="en-GB"/>
        </w:rPr>
        <w:t xml:space="preserve"> above), and on 16 May 2002 when UNMIK Police took the witness statement of </w:t>
      </w:r>
      <w:r w:rsidRPr="006B4871">
        <w:rPr>
          <w:lang w:val="en-GB"/>
        </w:rPr>
        <w:t xml:space="preserve">Mr Luka Petrušić’s brother Mr S.P. </w:t>
      </w:r>
      <w:r w:rsidRPr="006B4871">
        <w:t>Until</w:t>
      </w:r>
      <w:r w:rsidRPr="006B4871">
        <w:rPr>
          <w:lang w:val="en-GB"/>
        </w:rPr>
        <w:t xml:space="preserve"> now, almost 15 years after </w:t>
      </w:r>
      <w:r w:rsidR="00D552C5" w:rsidRPr="006B4871">
        <w:rPr>
          <w:bCs/>
          <w:lang w:val="en-GB"/>
        </w:rPr>
        <w:t xml:space="preserve">the abduction of </w:t>
      </w:r>
      <w:r w:rsidR="00D552C5" w:rsidRPr="006B4871">
        <w:t>Mr Slobodan Vujačić, Mr Luka Petrušić and Mrs Radmila Petrušić</w:t>
      </w:r>
      <w:r w:rsidRPr="006B4871">
        <w:rPr>
          <w:lang w:val="en-GB"/>
        </w:rPr>
        <w:t>, they have recei</w:t>
      </w:r>
      <w:r w:rsidR="00D552C5" w:rsidRPr="006B4871">
        <w:rPr>
          <w:lang w:val="en-GB"/>
        </w:rPr>
        <w:t>ved no information on their</w:t>
      </w:r>
      <w:r w:rsidRPr="006B4871">
        <w:rPr>
          <w:lang w:val="en-GB"/>
        </w:rPr>
        <w:t xml:space="preserve"> fate</w:t>
      </w:r>
      <w:r w:rsidR="00D552C5" w:rsidRPr="006B4871">
        <w:rPr>
          <w:lang w:val="en-GB"/>
        </w:rPr>
        <w:t>s</w:t>
      </w:r>
      <w:r w:rsidRPr="006B4871">
        <w:rPr>
          <w:lang w:val="en-GB"/>
        </w:rPr>
        <w:t xml:space="preserve"> or on the status of the investigation.</w:t>
      </w:r>
    </w:p>
    <w:p w:rsidR="004252FC" w:rsidRPr="006B4871" w:rsidRDefault="004252FC" w:rsidP="004252FC">
      <w:pPr>
        <w:pStyle w:val="ListParagraph"/>
        <w:rPr>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lang w:val="en-GB"/>
        </w:rPr>
        <w:t>Drawing inferences from UNMIK’s failure to provide a plausible explanation for the absence of any contact with the complainant, the Panel considers that this situation, which continued into the period of the Panel’s temporal jurisdiction, caused grave uncert</w:t>
      </w:r>
      <w:r w:rsidR="00D552C5" w:rsidRPr="006B4871">
        <w:rPr>
          <w:lang w:val="en-GB"/>
        </w:rPr>
        <w:t>ainty to the complainant and her</w:t>
      </w:r>
      <w:r w:rsidRPr="006B4871">
        <w:rPr>
          <w:lang w:val="en-GB"/>
        </w:rPr>
        <w:t xml:space="preserve"> family about</w:t>
      </w:r>
      <w:r w:rsidR="00D552C5" w:rsidRPr="006B4871">
        <w:rPr>
          <w:lang w:val="en-GB"/>
        </w:rPr>
        <w:t xml:space="preserve"> the fate o</w:t>
      </w:r>
      <w:r w:rsidR="00911BC1">
        <w:rPr>
          <w:lang w:val="en-GB"/>
        </w:rPr>
        <w:t>f</w:t>
      </w:r>
      <w:r w:rsidR="00D552C5" w:rsidRPr="006B4871">
        <w:rPr>
          <w:lang w:val="en-GB"/>
        </w:rPr>
        <w:t xml:space="preserve"> her relatives and</w:t>
      </w:r>
      <w:r w:rsidRPr="006B4871">
        <w:rPr>
          <w:lang w:val="en-GB"/>
        </w:rPr>
        <w:t xml:space="preserve"> the status of the investigation. </w:t>
      </w:r>
    </w:p>
    <w:p w:rsidR="00426EC7" w:rsidRPr="006B4871" w:rsidRDefault="00426EC7" w:rsidP="00426EC7">
      <w:pPr>
        <w:pStyle w:val="ListParagraph"/>
        <w:rPr>
          <w:lang w:val="en-GB"/>
        </w:rPr>
      </w:pPr>
    </w:p>
    <w:p w:rsidR="00426EC7" w:rsidRPr="006B4871" w:rsidRDefault="00426EC7" w:rsidP="004252FC">
      <w:pPr>
        <w:numPr>
          <w:ilvl w:val="0"/>
          <w:numId w:val="2"/>
        </w:numPr>
        <w:tabs>
          <w:tab w:val="clear" w:pos="360"/>
          <w:tab w:val="left" w:pos="709"/>
        </w:tabs>
        <w:suppressAutoHyphens/>
        <w:autoSpaceDE w:val="0"/>
        <w:ind w:left="450" w:hanging="450"/>
        <w:jc w:val="both"/>
        <w:rPr>
          <w:lang w:val="en-GB"/>
        </w:rPr>
      </w:pPr>
      <w:r w:rsidRPr="006B4871">
        <w:rPr>
          <w:lang w:val="en-GB"/>
        </w:rPr>
        <w:t>Furthermore, the Panel disagrees strongly with the SRSG</w:t>
      </w:r>
      <w:r w:rsidR="00926A8C" w:rsidRPr="006B4871">
        <w:rPr>
          <w:lang w:val="en-GB"/>
        </w:rPr>
        <w:t>’s</w:t>
      </w:r>
      <w:r w:rsidRPr="006B4871">
        <w:rPr>
          <w:lang w:val="en-GB"/>
        </w:rPr>
        <w:t xml:space="preserve"> argument that </w:t>
      </w:r>
      <w:r w:rsidRPr="006B4871">
        <w:rPr>
          <w:color w:val="000000" w:themeColor="text1"/>
          <w:lang w:val="en-GB"/>
        </w:rPr>
        <w:t xml:space="preserve">the complainant was not “in close proximity to the location at the time it occurred” (see § </w:t>
      </w:r>
      <w:r w:rsidR="00757455">
        <w:fldChar w:fldCharType="begin"/>
      </w:r>
      <w:r w:rsidR="00757455">
        <w:instrText xml:space="preserve"> REF _Ref406232133 \r \h  \* MERGEFORMAT </w:instrText>
      </w:r>
      <w:r w:rsidR="00757455">
        <w:fldChar w:fldCharType="separate"/>
      </w:r>
      <w:r w:rsidR="009E21A4" w:rsidRPr="009E21A4">
        <w:rPr>
          <w:color w:val="000000" w:themeColor="text1"/>
          <w:lang w:val="en-GB"/>
        </w:rPr>
        <w:t>110</w:t>
      </w:r>
      <w:r w:rsidR="00757455">
        <w:fldChar w:fldCharType="end"/>
      </w:r>
      <w:r w:rsidRPr="006B4871">
        <w:rPr>
          <w:color w:val="000000" w:themeColor="text1"/>
          <w:lang w:val="en-GB"/>
        </w:rPr>
        <w:t xml:space="preserve"> above). The Panel notes that the SRSG has</w:t>
      </w:r>
      <w:r w:rsidR="00B527B8" w:rsidRPr="006B4871">
        <w:rPr>
          <w:color w:val="000000" w:themeColor="text1"/>
          <w:lang w:val="en-GB"/>
        </w:rPr>
        <w:t xml:space="preserve"> previously noted that the complainant was close enough to the abduction to hear</w:t>
      </w:r>
      <w:r w:rsidRPr="006B4871">
        <w:rPr>
          <w:color w:val="000000" w:themeColor="text1"/>
          <w:lang w:val="en-GB"/>
        </w:rPr>
        <w:t xml:space="preserve"> </w:t>
      </w:r>
      <w:r w:rsidR="00B527B8" w:rsidRPr="006B4871">
        <w:rPr>
          <w:color w:val="000000" w:themeColor="text1"/>
          <w:lang w:val="en-GB"/>
        </w:rPr>
        <w:t>“</w:t>
      </w:r>
      <w:r w:rsidRPr="006B4871">
        <w:t>some gun shots from the direction of her younger brother’s house</w:t>
      </w:r>
      <w:r w:rsidR="00B527B8" w:rsidRPr="006B4871">
        <w:t>..</w:t>
      </w:r>
      <w:r w:rsidRPr="006B4871">
        <w:t>.”</w:t>
      </w:r>
      <w:r w:rsidR="00B527B8" w:rsidRPr="006B4871">
        <w:t xml:space="preserve"> (</w:t>
      </w:r>
      <w:proofErr w:type="gramStart"/>
      <w:r w:rsidR="00B527B8" w:rsidRPr="006B4871">
        <w:t>see</w:t>
      </w:r>
      <w:proofErr w:type="gramEnd"/>
      <w:r w:rsidR="00B527B8" w:rsidRPr="006B4871">
        <w:t xml:space="preserve"> § </w:t>
      </w:r>
      <w:r w:rsidR="00757455">
        <w:fldChar w:fldCharType="begin"/>
      </w:r>
      <w:r w:rsidR="00757455">
        <w:instrText xml:space="preserve"> REF _Ref406232702 \r \h  \* MERGEFORMAT </w:instrText>
      </w:r>
      <w:r w:rsidR="00757455">
        <w:fldChar w:fldCharType="separate"/>
      </w:r>
      <w:r w:rsidR="009E21A4">
        <w:t>48</w:t>
      </w:r>
      <w:r w:rsidR="00757455">
        <w:fldChar w:fldCharType="end"/>
      </w:r>
      <w:r w:rsidR="00B527B8" w:rsidRPr="006B4871">
        <w:t xml:space="preserve"> above).</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In view of the above, the Panel concludes that the complainant has suffered severe distress and anguish for a prolonged and continuing period of time on account of the way the authorities of UNMIK have dealt with</w:t>
      </w:r>
      <w:r w:rsidR="00D552C5" w:rsidRPr="006B4871">
        <w:rPr>
          <w:color w:val="000000" w:themeColor="text1"/>
          <w:lang w:val="en-GB"/>
        </w:rPr>
        <w:t xml:space="preserve"> the case and as a result of her</w:t>
      </w:r>
      <w:r w:rsidRPr="006B4871">
        <w:rPr>
          <w:color w:val="000000" w:themeColor="text1"/>
          <w:lang w:val="en-GB"/>
        </w:rPr>
        <w:t xml:space="preserve"> inability to find out what happened to h</w:t>
      </w:r>
      <w:r w:rsidR="00D552C5" w:rsidRPr="006B4871">
        <w:rPr>
          <w:color w:val="000000" w:themeColor="text1"/>
          <w:lang w:val="en-GB"/>
        </w:rPr>
        <w:t>er relatives</w:t>
      </w:r>
      <w:r w:rsidRPr="006B4871">
        <w:rPr>
          <w:color w:val="000000" w:themeColor="text1"/>
          <w:lang w:val="en-GB"/>
        </w:rPr>
        <w:t xml:space="preserve">. In this respect, it is obvious that, in any situation, the pain of </w:t>
      </w:r>
      <w:r w:rsidR="00D552C5" w:rsidRPr="006B4871">
        <w:rPr>
          <w:color w:val="000000" w:themeColor="text1"/>
          <w:lang w:val="en-GB"/>
        </w:rPr>
        <w:t>a wife and sister</w:t>
      </w:r>
      <w:r w:rsidRPr="006B4871">
        <w:rPr>
          <w:color w:val="000000" w:themeColor="text1"/>
          <w:lang w:val="en-GB"/>
        </w:rPr>
        <w:t xml:space="preserve"> who has to live in uncertainty about the fate of h</w:t>
      </w:r>
      <w:r w:rsidR="00D552C5" w:rsidRPr="006B4871">
        <w:rPr>
          <w:color w:val="000000" w:themeColor="text1"/>
          <w:lang w:val="en-GB"/>
        </w:rPr>
        <w:t>er husband, her brother and sister-in-law</w:t>
      </w:r>
      <w:r w:rsidRPr="006B4871">
        <w:rPr>
          <w:color w:val="000000" w:themeColor="text1"/>
          <w:lang w:val="en-GB"/>
        </w:rPr>
        <w:t xml:space="preserve"> must be unbearable.</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For the aforementioned reasons, the Panel concludes that, by its behaviour, UNMIK contributed to the complainant’s distress and mental suffering in violation of Article 3 of the ECHR.</w:t>
      </w:r>
    </w:p>
    <w:p w:rsidR="004252FC" w:rsidRPr="006B4871" w:rsidRDefault="004252FC" w:rsidP="004252FC">
      <w:pPr>
        <w:tabs>
          <w:tab w:val="left" w:pos="709"/>
        </w:tabs>
        <w:suppressAutoHyphens/>
        <w:autoSpaceDE w:val="0"/>
        <w:jc w:val="both"/>
        <w:rPr>
          <w:lang w:val="en-GB"/>
        </w:rPr>
      </w:pPr>
    </w:p>
    <w:p w:rsidR="004252FC" w:rsidRPr="006B4871" w:rsidRDefault="004252FC" w:rsidP="004252FC">
      <w:pPr>
        <w:pStyle w:val="ListParagraph"/>
        <w:rPr>
          <w:lang w:val="en-GB"/>
        </w:rPr>
      </w:pPr>
    </w:p>
    <w:p w:rsidR="004252FC" w:rsidRPr="006B4871" w:rsidRDefault="004252FC" w:rsidP="004252FC">
      <w:pPr>
        <w:numPr>
          <w:ilvl w:val="0"/>
          <w:numId w:val="1"/>
        </w:numPr>
        <w:suppressAutoHyphens/>
        <w:autoSpaceDE w:val="0"/>
        <w:ind w:left="360" w:hanging="360"/>
        <w:jc w:val="both"/>
        <w:rPr>
          <w:color w:val="000000" w:themeColor="text1"/>
          <w:lang w:val="en-GB"/>
        </w:rPr>
      </w:pPr>
      <w:r w:rsidRPr="006B4871">
        <w:rPr>
          <w:b/>
          <w:color w:val="000000" w:themeColor="text1"/>
          <w:lang w:val="en-GB"/>
        </w:rPr>
        <w:t xml:space="preserve">CONCLUDING </w:t>
      </w:r>
      <w:r w:rsidRPr="006B4871">
        <w:rPr>
          <w:b/>
          <w:bCs/>
          <w:color w:val="000000" w:themeColor="text1"/>
          <w:lang w:val="en-GB"/>
        </w:rPr>
        <w:t>COMMENTS</w:t>
      </w:r>
      <w:r w:rsidRPr="006B4871">
        <w:rPr>
          <w:b/>
          <w:color w:val="000000" w:themeColor="text1"/>
          <w:lang w:val="en-GB"/>
        </w:rPr>
        <w:t xml:space="preserve"> AND RECOMMENDATIONS</w:t>
      </w:r>
    </w:p>
    <w:p w:rsidR="004252FC" w:rsidRPr="006B4871" w:rsidRDefault="004252FC" w:rsidP="004252FC">
      <w:pPr>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In light of the Panel’s findings in this case, the Panel is of the opinion that some form of reparation is necessary.</w:t>
      </w:r>
    </w:p>
    <w:p w:rsidR="004252FC" w:rsidRPr="006B4871" w:rsidRDefault="004252FC" w:rsidP="004252FC">
      <w:pPr>
        <w:tabs>
          <w:tab w:val="left" w:pos="709"/>
        </w:tabs>
        <w:suppressAutoHyphens/>
        <w:autoSpaceDE w:val="0"/>
        <w:ind w:left="450"/>
        <w:jc w:val="both"/>
        <w:rPr>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w:t>
      </w:r>
      <w:r w:rsidR="00D552C5" w:rsidRPr="006B4871">
        <w:rPr>
          <w:color w:val="000000" w:themeColor="text1"/>
          <w:lang w:val="en-GB"/>
        </w:rPr>
        <w:t>probable killing</w:t>
      </w:r>
      <w:r w:rsidRPr="006B4871">
        <w:rPr>
          <w:color w:val="000000" w:themeColor="text1"/>
          <w:lang w:val="en-GB"/>
        </w:rPr>
        <w:t xml:space="preserve"> of </w:t>
      </w:r>
      <w:r w:rsidR="00D552C5" w:rsidRPr="006B4871">
        <w:rPr>
          <w:lang w:val="en-GB"/>
        </w:rPr>
        <w:t>Mr Slobodan Vujačić, Mr Luka Petrušić and Mrs Radmila Petrušić</w:t>
      </w:r>
      <w:r w:rsidRPr="006B4871">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4252FC" w:rsidRPr="006B4871" w:rsidRDefault="004252FC" w:rsidP="004252FC">
      <w:pPr>
        <w:pStyle w:val="ListParagraph"/>
        <w:rPr>
          <w:bCs/>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bCs/>
          <w:color w:val="000000" w:themeColor="text1"/>
          <w:lang w:val="en-GB"/>
        </w:rPr>
        <w:t xml:space="preserve">The </w:t>
      </w:r>
      <w:r w:rsidRPr="006B4871">
        <w:rPr>
          <w:color w:val="000000" w:themeColor="text1"/>
          <w:lang w:val="en-GB"/>
        </w:rPr>
        <w:t>Panel</w:t>
      </w:r>
      <w:r w:rsidRPr="006B4871">
        <w:rPr>
          <w:bCs/>
          <w:color w:val="000000" w:themeColor="text1"/>
          <w:lang w:val="en-GB"/>
        </w:rPr>
        <w:t xml:space="preserve"> </w:t>
      </w:r>
      <w:r w:rsidRPr="006B4871">
        <w:rPr>
          <w:color w:val="000000" w:themeColor="text1"/>
          <w:lang w:val="en-GB"/>
        </w:rPr>
        <w:t>notes</w:t>
      </w:r>
      <w:r w:rsidRPr="006B4871">
        <w:rPr>
          <w:bCs/>
          <w:color w:val="000000" w:themeColor="text1"/>
          <w:lang w:val="en-GB"/>
        </w:rPr>
        <w:t xml:space="preserve"> the SRSG’s own concerns that the inadequate resources, especially at the outset of </w:t>
      </w:r>
      <w:r w:rsidRPr="006B4871">
        <w:rPr>
          <w:color w:val="000000" w:themeColor="text1"/>
          <w:lang w:val="en-GB"/>
        </w:rPr>
        <w:t>UNMIK’s</w:t>
      </w:r>
      <w:r w:rsidRPr="006B4871">
        <w:rPr>
          <w:bCs/>
          <w:color w:val="000000" w:themeColor="text1"/>
          <w:lang w:val="en-GB"/>
        </w:rPr>
        <w:t xml:space="preserve"> mission, made compliance with UNMIK’s human rights obligations difficult to achieve.</w:t>
      </w:r>
    </w:p>
    <w:p w:rsidR="004252FC" w:rsidRPr="006B4871" w:rsidRDefault="004252FC" w:rsidP="004252FC">
      <w:pPr>
        <w:pStyle w:val="ListParagraph"/>
        <w:rPr>
          <w:color w:val="000000" w:themeColor="text1"/>
          <w:lang w:val="en-GB"/>
        </w:rPr>
      </w:pPr>
    </w:p>
    <w:p w:rsidR="004252FC"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It </w:t>
      </w:r>
      <w:r w:rsidRPr="006B4871">
        <w:rPr>
          <w:bCs/>
          <w:color w:val="000000" w:themeColor="text1"/>
          <w:lang w:val="en-GB"/>
        </w:rPr>
        <w:t>would</w:t>
      </w:r>
      <w:r w:rsidRPr="006B4871">
        <w:rPr>
          <w:color w:val="000000" w:themeColor="text1"/>
          <w:lang w:val="en-GB"/>
        </w:rPr>
        <w:t xml:space="preserve"> normally be for UNMIK to take the appropriate measures in order to put an end to the violation noted and to redress as far as possible the effects thereof. However, as the Panel noted above (see §</w:t>
      </w:r>
      <w:r w:rsidR="00757455">
        <w:fldChar w:fldCharType="begin"/>
      </w:r>
      <w:r w:rsidR="00757455">
        <w:instrText xml:space="preserve"> REF _Ref346123927 \r \h  \* MERGEFORMAT </w:instrText>
      </w:r>
      <w:r w:rsidR="00757455">
        <w:fldChar w:fldCharType="separate"/>
      </w:r>
      <w:r w:rsidR="009E21A4" w:rsidRPr="009E21A4">
        <w:rPr>
          <w:color w:val="000000" w:themeColor="text1"/>
          <w:lang w:val="en-GB"/>
        </w:rPr>
        <w:t>17</w:t>
      </w:r>
      <w:r w:rsidR="00757455">
        <w:fldChar w:fldCharType="end"/>
      </w:r>
      <w:r w:rsidRPr="006B4871">
        <w:rPr>
          <w:color w:val="000000" w:themeColor="text1"/>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B4871">
        <w:rPr>
          <w:bCs/>
          <w:color w:val="000000" w:themeColor="text1"/>
          <w:lang w:val="en-GB"/>
        </w:rPr>
        <w:t>human</w:t>
      </w:r>
      <w:r w:rsidRPr="006B4871">
        <w:rPr>
          <w:color w:val="000000" w:themeColor="text1"/>
          <w:lang w:val="en-GB"/>
        </w:rPr>
        <w:t xml:space="preserve"> rights law.  </w:t>
      </w:r>
    </w:p>
    <w:p w:rsidR="004252FC" w:rsidRPr="006B4871" w:rsidRDefault="004252FC" w:rsidP="004252FC">
      <w:pPr>
        <w:pStyle w:val="ListParagraph"/>
        <w:rPr>
          <w:color w:val="000000" w:themeColor="text1"/>
          <w:lang w:val="en-GB"/>
        </w:rPr>
      </w:pPr>
    </w:p>
    <w:p w:rsidR="00074515" w:rsidRPr="006B4871" w:rsidRDefault="00074515" w:rsidP="004252FC">
      <w:pPr>
        <w:numPr>
          <w:ilvl w:val="0"/>
          <w:numId w:val="2"/>
        </w:numPr>
        <w:tabs>
          <w:tab w:val="clear" w:pos="360"/>
          <w:tab w:val="left" w:pos="709"/>
        </w:tabs>
        <w:suppressAutoHyphens/>
        <w:autoSpaceDE w:val="0"/>
        <w:ind w:left="450" w:hanging="450"/>
        <w:jc w:val="both"/>
        <w:rPr>
          <w:lang w:val="en-GB"/>
        </w:rPr>
      </w:pPr>
      <w:r w:rsidRPr="006B4871">
        <w:rPr>
          <w:color w:val="000000" w:themeColor="text1"/>
          <w:lang w:val="en-GB"/>
        </w:rPr>
        <w:t xml:space="preserve">The Panel considers that this </w:t>
      </w:r>
      <w:r w:rsidRPr="006B4871">
        <w:rPr>
          <w:bCs/>
          <w:color w:val="000000" w:themeColor="text1"/>
          <w:lang w:val="en-GB"/>
        </w:rPr>
        <w:t>factual</w:t>
      </w:r>
      <w:r w:rsidRPr="006B4871">
        <w:rPr>
          <w:color w:val="000000" w:themeColor="text1"/>
          <w:lang w:val="en-GB"/>
        </w:rPr>
        <w:t xml:space="preserve"> situation does not relieve UNMIK from its obligation to redress as far as possible the effects of the violations for which it is responsible. </w:t>
      </w:r>
    </w:p>
    <w:p w:rsidR="00074515" w:rsidRPr="006B4871" w:rsidRDefault="00074515" w:rsidP="00074515">
      <w:pPr>
        <w:pStyle w:val="ListParagraph"/>
        <w:rPr>
          <w:b/>
          <w:bCs/>
          <w:color w:val="000000" w:themeColor="text1"/>
          <w:lang w:val="en-GB"/>
        </w:rPr>
      </w:pPr>
    </w:p>
    <w:p w:rsidR="00074515" w:rsidRPr="006B4871" w:rsidRDefault="00074515" w:rsidP="00074515">
      <w:pPr>
        <w:suppressAutoHyphens/>
        <w:autoSpaceDE w:val="0"/>
        <w:ind w:left="450"/>
        <w:jc w:val="both"/>
        <w:rPr>
          <w:b/>
          <w:bCs/>
          <w:color w:val="000000" w:themeColor="text1"/>
          <w:lang w:val="en-GB"/>
        </w:rPr>
      </w:pPr>
      <w:r w:rsidRPr="006B4871">
        <w:rPr>
          <w:b/>
          <w:bCs/>
          <w:color w:val="000000" w:themeColor="text1"/>
          <w:lang w:val="en-GB"/>
        </w:rPr>
        <w:t>With respect to the complainant and the case the Panel considers appropriate that UNMIK:</w:t>
      </w:r>
    </w:p>
    <w:p w:rsidR="00074515" w:rsidRPr="006B4871" w:rsidRDefault="00074515" w:rsidP="00074515">
      <w:pPr>
        <w:pStyle w:val="ListParagraph"/>
        <w:rPr>
          <w:b/>
          <w:bCs/>
          <w:color w:val="000000" w:themeColor="text1"/>
          <w:lang w:val="en-GB"/>
        </w:rPr>
      </w:pPr>
    </w:p>
    <w:p w:rsidR="00074515" w:rsidRPr="006B4871" w:rsidRDefault="00074515" w:rsidP="00074515">
      <w:pPr>
        <w:tabs>
          <w:tab w:val="left" w:pos="900"/>
        </w:tabs>
        <w:suppressAutoHyphens/>
        <w:autoSpaceDE w:val="0"/>
        <w:ind w:left="720" w:hanging="180"/>
        <w:jc w:val="both"/>
        <w:rPr>
          <w:b/>
          <w:bCs/>
          <w:color w:val="000000" w:themeColor="text1"/>
          <w:lang w:val="en-GB"/>
        </w:rPr>
      </w:pPr>
      <w:r w:rsidRPr="006B4871">
        <w:rPr>
          <w:b/>
          <w:color w:val="000000" w:themeColor="text1"/>
          <w:lang w:val="en-GB"/>
        </w:rPr>
        <w:t xml:space="preserve">- </w:t>
      </w:r>
      <w:r w:rsidRPr="006B4871">
        <w:rPr>
          <w:color w:val="000000" w:themeColor="text1"/>
          <w:lang w:val="en-GB"/>
        </w:rPr>
        <w:t xml:space="preserve">In line with the case law of the European Court of Human Rights on situations of limited State jurisdiction (see ECtHR [GC], </w:t>
      </w:r>
      <w:r w:rsidRPr="006B4871">
        <w:rPr>
          <w:i/>
          <w:color w:val="000000" w:themeColor="text1"/>
          <w:lang w:val="en-GB"/>
        </w:rPr>
        <w:t>Ilaşcu and Others v. Moldova and Russia</w:t>
      </w:r>
      <w:r w:rsidRPr="006B4871">
        <w:rPr>
          <w:color w:val="000000" w:themeColor="text1"/>
          <w:lang w:val="en-GB"/>
        </w:rPr>
        <w:t xml:space="preserve">, cited in § </w:t>
      </w:r>
      <w:r w:rsidR="00757455">
        <w:fldChar w:fldCharType="begin"/>
      </w:r>
      <w:r w:rsidR="00757455">
        <w:instrText xml:space="preserve"> REF _Ref401074681 \r \h  \* MERGEFORMAT </w:instrText>
      </w:r>
      <w:r w:rsidR="00757455">
        <w:fldChar w:fldCharType="separate"/>
      </w:r>
      <w:r w:rsidR="009E21A4" w:rsidRPr="009E21A4">
        <w:rPr>
          <w:color w:val="000000" w:themeColor="text1"/>
          <w:lang w:val="en-GB"/>
        </w:rPr>
        <w:t>112</w:t>
      </w:r>
      <w:r w:rsidR="00757455">
        <w:fldChar w:fldCharType="end"/>
      </w:r>
      <w:r w:rsidRPr="006B4871">
        <w:rPr>
          <w:color w:val="000000" w:themeColor="text1"/>
          <w:lang w:val="en-GB"/>
        </w:rPr>
        <w:t xml:space="preserve"> above, at § 333; ECtHR, </w:t>
      </w:r>
      <w:r w:rsidRPr="006B4871">
        <w:rPr>
          <w:i/>
          <w:color w:val="000000" w:themeColor="text1"/>
          <w:lang w:val="en-GB"/>
        </w:rPr>
        <w:t>Al-Saadoon and Mufdhi v. United Kingdom</w:t>
      </w:r>
      <w:r w:rsidRPr="006B4871">
        <w:rPr>
          <w:color w:val="000000" w:themeColor="text1"/>
          <w:lang w:val="en-GB"/>
        </w:rPr>
        <w:t xml:space="preserve">, no. 61498/08, judgment of 2 March 2010, § 171; ECtHR [GC]), </w:t>
      </w:r>
      <w:r w:rsidRPr="006B4871">
        <w:rPr>
          <w:i/>
          <w:color w:val="000000" w:themeColor="text1"/>
          <w:lang w:val="en-GB"/>
        </w:rPr>
        <w:t>Catan and Others v. Moldova and Russia</w:t>
      </w:r>
      <w:r w:rsidRPr="006B4871">
        <w:rPr>
          <w:color w:val="000000" w:themeColor="text1"/>
          <w:lang w:val="en-GB"/>
        </w:rPr>
        <w:t xml:space="preserve">, nos. 43370/04, 8252/05 and 18454/06, judgment of 19 October 2012, § 109), must endeavour, with all the means available to it </w:t>
      </w:r>
      <w:r w:rsidRPr="006B4871">
        <w:rPr>
          <w:i/>
          <w:color w:val="000000" w:themeColor="text1"/>
          <w:lang w:val="en-GB"/>
        </w:rPr>
        <w:t>vis-à-vis</w:t>
      </w:r>
      <w:r w:rsidRPr="006B4871">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6B4871">
        <w:rPr>
          <w:bCs/>
          <w:color w:val="000000" w:themeColor="text1"/>
          <w:lang w:val="en-GB"/>
        </w:rPr>
        <w:t xml:space="preserve">the abduction and </w:t>
      </w:r>
      <w:r w:rsidR="00D552C5" w:rsidRPr="006B4871">
        <w:rPr>
          <w:color w:val="000000" w:themeColor="text1"/>
          <w:lang w:val="en-GB"/>
        </w:rPr>
        <w:t>probable killing</w:t>
      </w:r>
      <w:r w:rsidRPr="006B4871">
        <w:rPr>
          <w:color w:val="000000" w:themeColor="text1"/>
          <w:lang w:val="en-GB"/>
        </w:rPr>
        <w:t xml:space="preserve"> of </w:t>
      </w:r>
      <w:r w:rsidR="00D552C5" w:rsidRPr="006B4871">
        <w:rPr>
          <w:lang w:val="en-GB"/>
        </w:rPr>
        <w:t>Mr Slobodan Vujačić, Mr Luka Petrušić and Mrs Radmila Petrušić</w:t>
      </w:r>
      <w:r w:rsidRPr="006B4871">
        <w:rPr>
          <w:color w:val="000000" w:themeColor="text1"/>
          <w:lang w:val="en-GB"/>
        </w:rPr>
        <w:t xml:space="preserve"> will be established and that the possible perpetrators will be brought to justice. The complainant and/or other next-of-kin shall be informed of such proceedings and relevant documents shall be disclosed to them, as necessary;</w:t>
      </w:r>
    </w:p>
    <w:p w:rsidR="00074515" w:rsidRPr="006B4871" w:rsidRDefault="00074515" w:rsidP="00074515">
      <w:pPr>
        <w:suppressAutoHyphens/>
        <w:autoSpaceDE w:val="0"/>
        <w:ind w:left="426"/>
        <w:jc w:val="both"/>
        <w:rPr>
          <w:b/>
          <w:bCs/>
          <w:color w:val="000000" w:themeColor="text1"/>
          <w:lang w:val="en-GB"/>
        </w:rPr>
      </w:pPr>
    </w:p>
    <w:p w:rsidR="00074515" w:rsidRPr="006B4871" w:rsidRDefault="00074515" w:rsidP="00BB0B92">
      <w:pPr>
        <w:tabs>
          <w:tab w:val="left" w:pos="900"/>
        </w:tabs>
        <w:suppressAutoHyphens/>
        <w:autoSpaceDE w:val="0"/>
        <w:ind w:left="720" w:hanging="180"/>
        <w:jc w:val="both"/>
        <w:rPr>
          <w:bCs/>
          <w:color w:val="000000" w:themeColor="text1"/>
          <w:lang w:val="en-GB"/>
        </w:rPr>
      </w:pPr>
      <w:r w:rsidRPr="006B4871">
        <w:rPr>
          <w:b/>
          <w:bCs/>
          <w:color w:val="000000" w:themeColor="text1"/>
          <w:lang w:val="en-GB"/>
        </w:rPr>
        <w:lastRenderedPageBreak/>
        <w:t xml:space="preserve">- </w:t>
      </w:r>
      <w:r w:rsidRPr="006B4871">
        <w:rPr>
          <w:bCs/>
          <w:color w:val="000000" w:themeColor="text1"/>
          <w:lang w:val="en-GB"/>
        </w:rPr>
        <w:t xml:space="preserve">Publicly </w:t>
      </w:r>
      <w:r w:rsidRPr="006B4871">
        <w:rPr>
          <w:color w:val="000000" w:themeColor="text1"/>
          <w:lang w:val="en-GB"/>
        </w:rPr>
        <w:t>acknowledges</w:t>
      </w:r>
      <w:r w:rsidR="00BB0B92" w:rsidRPr="006B4871">
        <w:rPr>
          <w:bCs/>
          <w:color w:val="000000" w:themeColor="text1"/>
          <w:lang w:val="en-GB"/>
        </w:rPr>
        <w:t xml:space="preserve">, including through media, </w:t>
      </w:r>
      <w:r w:rsidRPr="006B4871">
        <w:rPr>
          <w:color w:val="000000" w:themeColor="text1"/>
          <w:lang w:val="en-GB"/>
        </w:rPr>
        <w:t>within</w:t>
      </w:r>
      <w:r w:rsidRPr="006B4871">
        <w:rPr>
          <w:bCs/>
          <w:color w:val="000000" w:themeColor="text1"/>
          <w:lang w:val="en-GB"/>
        </w:rPr>
        <w:t xml:space="preserve"> a reasonable time, responsibility with respect to UNMIK’s </w:t>
      </w:r>
      <w:r w:rsidRPr="006B4871">
        <w:rPr>
          <w:color w:val="000000" w:themeColor="text1"/>
          <w:lang w:val="en-GB"/>
        </w:rPr>
        <w:t>failure</w:t>
      </w:r>
      <w:r w:rsidRPr="006B4871">
        <w:rPr>
          <w:bCs/>
          <w:color w:val="000000" w:themeColor="text1"/>
          <w:lang w:val="en-GB"/>
        </w:rPr>
        <w:t xml:space="preserve"> to adequately investigate the abduction </w:t>
      </w:r>
      <w:r w:rsidR="00D552C5" w:rsidRPr="006B4871">
        <w:rPr>
          <w:bCs/>
          <w:color w:val="000000" w:themeColor="text1"/>
          <w:lang w:val="en-GB"/>
        </w:rPr>
        <w:t xml:space="preserve">and </w:t>
      </w:r>
      <w:r w:rsidR="00D552C5" w:rsidRPr="006B4871">
        <w:rPr>
          <w:color w:val="000000" w:themeColor="text1"/>
          <w:lang w:val="en-GB"/>
        </w:rPr>
        <w:t xml:space="preserve">probable killing of </w:t>
      </w:r>
      <w:r w:rsidR="00D552C5" w:rsidRPr="006B4871">
        <w:rPr>
          <w:lang w:val="en-GB"/>
        </w:rPr>
        <w:t>Mr Slobodan Vujačić, Mr Luka Petrušić and Mrs Radmila Petrušić</w:t>
      </w:r>
      <w:r w:rsidRPr="006B4871">
        <w:rPr>
          <w:color w:val="000000" w:themeColor="text1"/>
          <w:lang w:val="en-GB"/>
        </w:rPr>
        <w:t xml:space="preserve">, </w:t>
      </w:r>
      <w:r w:rsidRPr="006B4871">
        <w:rPr>
          <w:bCs/>
          <w:color w:val="000000" w:themeColor="text1"/>
          <w:lang w:val="en-GB"/>
        </w:rPr>
        <w:t xml:space="preserve">as </w:t>
      </w:r>
      <w:r w:rsidRPr="006B4871">
        <w:rPr>
          <w:color w:val="000000" w:themeColor="text1"/>
          <w:lang w:val="en-GB"/>
        </w:rPr>
        <w:t>well</w:t>
      </w:r>
      <w:r w:rsidRPr="006B4871">
        <w:rPr>
          <w:bCs/>
          <w:color w:val="000000" w:themeColor="text1"/>
          <w:lang w:val="en-GB"/>
        </w:rPr>
        <w:t xml:space="preserve"> as the distress and mental suffering subsequently incurred, and makes a public apology to the complainant and h</w:t>
      </w:r>
      <w:r w:rsidR="00D552C5" w:rsidRPr="006B4871">
        <w:rPr>
          <w:bCs/>
          <w:color w:val="000000" w:themeColor="text1"/>
          <w:lang w:val="en-GB"/>
        </w:rPr>
        <w:t>er</w:t>
      </w:r>
      <w:r w:rsidRPr="006B4871">
        <w:rPr>
          <w:bCs/>
          <w:color w:val="000000" w:themeColor="text1"/>
          <w:lang w:val="en-GB"/>
        </w:rPr>
        <w:t xml:space="preserve"> family in this </w:t>
      </w:r>
      <w:r w:rsidRPr="006B4871">
        <w:rPr>
          <w:color w:val="000000" w:themeColor="text1"/>
          <w:lang w:val="en-GB"/>
        </w:rPr>
        <w:t>regard</w:t>
      </w:r>
      <w:r w:rsidRPr="006B4871">
        <w:rPr>
          <w:bCs/>
          <w:color w:val="000000" w:themeColor="text1"/>
          <w:lang w:val="en-GB"/>
        </w:rPr>
        <w:t>;</w:t>
      </w:r>
    </w:p>
    <w:p w:rsidR="00074515" w:rsidRPr="006B4871" w:rsidRDefault="00074515" w:rsidP="00074515">
      <w:pPr>
        <w:tabs>
          <w:tab w:val="left" w:pos="900"/>
        </w:tabs>
        <w:suppressAutoHyphens/>
        <w:autoSpaceDE w:val="0"/>
        <w:ind w:left="720"/>
        <w:jc w:val="both"/>
        <w:rPr>
          <w:color w:val="000000" w:themeColor="text1"/>
          <w:lang w:val="en-GB"/>
        </w:rPr>
      </w:pPr>
    </w:p>
    <w:p w:rsidR="00074515" w:rsidRPr="006B4871" w:rsidRDefault="00074515" w:rsidP="00074515">
      <w:pPr>
        <w:tabs>
          <w:tab w:val="left" w:pos="900"/>
        </w:tabs>
        <w:suppressAutoHyphens/>
        <w:autoSpaceDE w:val="0"/>
        <w:ind w:left="720" w:hanging="180"/>
        <w:jc w:val="both"/>
        <w:rPr>
          <w:color w:val="000000" w:themeColor="text1"/>
          <w:lang w:val="en-GB"/>
        </w:rPr>
      </w:pPr>
      <w:r w:rsidRPr="006B4871">
        <w:rPr>
          <w:b/>
          <w:color w:val="000000" w:themeColor="text1"/>
          <w:lang w:val="en-GB"/>
        </w:rPr>
        <w:t xml:space="preserve">- </w:t>
      </w:r>
      <w:r w:rsidRPr="006B4871">
        <w:rPr>
          <w:color w:val="000000" w:themeColor="text1"/>
          <w:lang w:val="en-GB"/>
        </w:rPr>
        <w:t xml:space="preserve">Takes appropriate steps towards payment of adequate compensation to the complainant for the moral damage suffered due to UNMIK’s failure to conduct an effective investigation as well as for distress and </w:t>
      </w:r>
      <w:r w:rsidRPr="006B4871">
        <w:rPr>
          <w:bCs/>
          <w:color w:val="000000" w:themeColor="text1"/>
          <w:lang w:val="en-GB"/>
        </w:rPr>
        <w:t xml:space="preserve">mental suffering </w:t>
      </w:r>
      <w:r w:rsidRPr="006B4871">
        <w:rPr>
          <w:color w:val="000000" w:themeColor="text1"/>
          <w:lang w:val="en-GB"/>
        </w:rPr>
        <w:t xml:space="preserve">incurred by </w:t>
      </w:r>
      <w:r w:rsidR="00D552C5" w:rsidRPr="006B4871">
        <w:rPr>
          <w:color w:val="000000" w:themeColor="text1"/>
          <w:lang w:val="en-GB"/>
        </w:rPr>
        <w:t>her</w:t>
      </w:r>
      <w:r w:rsidRPr="006B4871">
        <w:rPr>
          <w:color w:val="000000" w:themeColor="text1"/>
          <w:lang w:val="en-GB"/>
        </w:rPr>
        <w:t xml:space="preserve"> as a consequence of UNMIK’s behaviour.</w:t>
      </w:r>
    </w:p>
    <w:p w:rsidR="00074515" w:rsidRPr="006B4871" w:rsidRDefault="00074515" w:rsidP="00074515">
      <w:pPr>
        <w:suppressAutoHyphens/>
        <w:autoSpaceDE w:val="0"/>
        <w:ind w:left="360"/>
        <w:jc w:val="both"/>
        <w:rPr>
          <w:b/>
          <w:bCs/>
          <w:color w:val="000000" w:themeColor="text1"/>
          <w:lang w:val="en-GB"/>
        </w:rPr>
      </w:pPr>
    </w:p>
    <w:p w:rsidR="00074515" w:rsidRPr="006B4871" w:rsidRDefault="00074515" w:rsidP="00074515">
      <w:pPr>
        <w:suppressAutoHyphens/>
        <w:autoSpaceDE w:val="0"/>
        <w:ind w:left="450"/>
        <w:jc w:val="both"/>
        <w:rPr>
          <w:b/>
          <w:bCs/>
          <w:color w:val="000000" w:themeColor="text1"/>
          <w:lang w:val="en-GB"/>
        </w:rPr>
      </w:pPr>
      <w:r w:rsidRPr="006B4871">
        <w:rPr>
          <w:b/>
          <w:bCs/>
          <w:color w:val="000000" w:themeColor="text1"/>
          <w:lang w:val="en-GB"/>
        </w:rPr>
        <w:t>The Panel also considers appropriate that UNMIK:</w:t>
      </w:r>
    </w:p>
    <w:p w:rsidR="00074515" w:rsidRPr="006B4871" w:rsidRDefault="00074515" w:rsidP="00074515">
      <w:pPr>
        <w:rPr>
          <w:color w:val="000000" w:themeColor="text1"/>
          <w:lang w:val="en-GB"/>
        </w:rPr>
      </w:pPr>
    </w:p>
    <w:p w:rsidR="00074515" w:rsidRPr="006B4871" w:rsidRDefault="00074515" w:rsidP="00074515">
      <w:pPr>
        <w:tabs>
          <w:tab w:val="left" w:pos="900"/>
        </w:tabs>
        <w:suppressAutoHyphens/>
        <w:autoSpaceDE w:val="0"/>
        <w:ind w:left="720" w:hanging="180"/>
        <w:jc w:val="both"/>
        <w:rPr>
          <w:color w:val="000000" w:themeColor="text1"/>
          <w:lang w:val="en-GB"/>
        </w:rPr>
      </w:pPr>
      <w:r w:rsidRPr="006B4871">
        <w:rPr>
          <w:b/>
          <w:bCs/>
          <w:color w:val="000000" w:themeColor="text1"/>
          <w:lang w:val="en-GB"/>
        </w:rPr>
        <w:t>-</w:t>
      </w:r>
      <w:r w:rsidRPr="006B4871">
        <w:rPr>
          <w:bCs/>
          <w:color w:val="000000" w:themeColor="text1"/>
          <w:lang w:val="en-GB"/>
        </w:rPr>
        <w:t xml:space="preserve"> In line </w:t>
      </w:r>
      <w:r w:rsidRPr="006B4871">
        <w:rPr>
          <w:color w:val="000000" w:themeColor="text1"/>
          <w:lang w:val="en-GB"/>
        </w:rPr>
        <w:t>with</w:t>
      </w:r>
      <w:r w:rsidRPr="006B4871">
        <w:rPr>
          <w:bCs/>
          <w:color w:val="000000" w:themeColor="text1"/>
          <w:lang w:val="en-GB"/>
        </w:rPr>
        <w:t xml:space="preserve"> the UN </w:t>
      </w:r>
      <w:r w:rsidRPr="006B4871">
        <w:rPr>
          <w:color w:val="000000" w:themeColor="text1"/>
          <w:lang w:val="en-GB"/>
        </w:rPr>
        <w:t>General</w:t>
      </w:r>
      <w:r w:rsidRPr="006B4871">
        <w:rPr>
          <w:bCs/>
          <w:color w:val="000000" w:themeColor="text1"/>
          <w:lang w:val="en-GB"/>
        </w:rPr>
        <w:t xml:space="preserve"> Assembly Resolution on “Basic Principles and </w:t>
      </w:r>
      <w:r w:rsidRPr="006B4871">
        <w:rPr>
          <w:color w:val="000000" w:themeColor="text1"/>
          <w:lang w:val="en-GB"/>
        </w:rPr>
        <w:t>Guidelines</w:t>
      </w:r>
      <w:r w:rsidRPr="006B4871">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6B4871">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074515" w:rsidRPr="006B4871" w:rsidRDefault="00074515" w:rsidP="00074515">
      <w:pPr>
        <w:tabs>
          <w:tab w:val="left" w:pos="900"/>
        </w:tabs>
        <w:suppressAutoHyphens/>
        <w:autoSpaceDE w:val="0"/>
        <w:ind w:left="720"/>
        <w:jc w:val="both"/>
        <w:rPr>
          <w:color w:val="000000" w:themeColor="text1"/>
          <w:lang w:val="en-GB"/>
        </w:rPr>
      </w:pPr>
    </w:p>
    <w:p w:rsidR="00074515" w:rsidRPr="006B4871" w:rsidRDefault="00074515" w:rsidP="00074515">
      <w:pPr>
        <w:tabs>
          <w:tab w:val="left" w:pos="900"/>
        </w:tabs>
        <w:suppressAutoHyphens/>
        <w:autoSpaceDE w:val="0"/>
        <w:ind w:left="720" w:hanging="180"/>
        <w:jc w:val="both"/>
        <w:rPr>
          <w:color w:val="000000" w:themeColor="text1"/>
          <w:lang w:val="en-GB"/>
        </w:rPr>
      </w:pPr>
      <w:r w:rsidRPr="006B4871">
        <w:rPr>
          <w:b/>
          <w:color w:val="000000" w:themeColor="text1"/>
          <w:lang w:val="en-GB"/>
        </w:rPr>
        <w:t>-</w:t>
      </w:r>
      <w:r w:rsidRPr="006B4871">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7B57A9">
        <w:rPr>
          <w:color w:val="000000" w:themeColor="text1"/>
          <w:lang w:val="en-GB"/>
        </w:rPr>
        <w:t>tive and independent monitoring.</w:t>
      </w:r>
    </w:p>
    <w:p w:rsidR="00074515" w:rsidRPr="006B4871" w:rsidRDefault="00074515" w:rsidP="00074515">
      <w:pPr>
        <w:rPr>
          <w:color w:val="000000" w:themeColor="text1"/>
          <w:lang w:val="en-GB"/>
        </w:rPr>
      </w:pPr>
    </w:p>
    <w:p w:rsidR="00074515" w:rsidRPr="006B4871" w:rsidRDefault="00074515" w:rsidP="00074515">
      <w:pPr>
        <w:rPr>
          <w:color w:val="000000" w:themeColor="text1"/>
          <w:lang w:val="en-GB"/>
        </w:rPr>
      </w:pPr>
    </w:p>
    <w:p w:rsidR="00074515" w:rsidRPr="006B4871" w:rsidRDefault="00074515" w:rsidP="00074515">
      <w:pPr>
        <w:rPr>
          <w:color w:val="000000" w:themeColor="text1"/>
          <w:lang w:val="en-GB"/>
        </w:rPr>
      </w:pPr>
    </w:p>
    <w:p w:rsidR="00074515" w:rsidRPr="006B4871" w:rsidRDefault="00074515" w:rsidP="00074515">
      <w:pPr>
        <w:pStyle w:val="Normal1"/>
        <w:spacing w:before="0" w:beforeAutospacing="0" w:after="0" w:afterAutospacing="0"/>
        <w:jc w:val="both"/>
        <w:rPr>
          <w:b/>
          <w:color w:val="000000" w:themeColor="text1"/>
          <w:lang w:val="en-GB"/>
        </w:rPr>
      </w:pPr>
      <w:r w:rsidRPr="006B4871">
        <w:rPr>
          <w:b/>
          <w:color w:val="000000" w:themeColor="text1"/>
          <w:lang w:val="en-GB"/>
        </w:rPr>
        <w:t>FOR THESE REASONS,</w:t>
      </w:r>
    </w:p>
    <w:p w:rsidR="00074515" w:rsidRPr="006B4871" w:rsidRDefault="00074515" w:rsidP="00074515">
      <w:pPr>
        <w:pStyle w:val="Normal1"/>
        <w:spacing w:before="0" w:beforeAutospacing="0" w:after="0" w:afterAutospacing="0"/>
        <w:jc w:val="both"/>
        <w:rPr>
          <w:b/>
          <w:color w:val="000000" w:themeColor="text1"/>
          <w:lang w:val="en-GB"/>
        </w:rPr>
      </w:pPr>
    </w:p>
    <w:p w:rsidR="00074515" w:rsidRPr="006B4871" w:rsidRDefault="00074515" w:rsidP="00074515">
      <w:pPr>
        <w:autoSpaceDE w:val="0"/>
        <w:autoSpaceDN w:val="0"/>
        <w:adjustRightInd w:val="0"/>
        <w:jc w:val="both"/>
        <w:rPr>
          <w:color w:val="000000" w:themeColor="text1"/>
          <w:lang w:val="en-GB"/>
        </w:rPr>
      </w:pPr>
      <w:r w:rsidRPr="006B4871">
        <w:rPr>
          <w:color w:val="000000" w:themeColor="text1"/>
          <w:lang w:val="en-GB"/>
        </w:rPr>
        <w:t>The Panel, unanimously,</w:t>
      </w:r>
    </w:p>
    <w:p w:rsidR="00074515" w:rsidRPr="006B4871" w:rsidRDefault="00074515" w:rsidP="00074515">
      <w:pPr>
        <w:autoSpaceDE w:val="0"/>
        <w:autoSpaceDN w:val="0"/>
        <w:adjustRightInd w:val="0"/>
        <w:jc w:val="both"/>
        <w:rPr>
          <w:color w:val="000000" w:themeColor="text1"/>
          <w:lang w:val="en-GB"/>
        </w:rPr>
      </w:pPr>
    </w:p>
    <w:p w:rsidR="00074515" w:rsidRPr="006B4871" w:rsidRDefault="00074515" w:rsidP="00074515">
      <w:pPr>
        <w:autoSpaceDE w:val="0"/>
        <w:autoSpaceDN w:val="0"/>
        <w:adjustRightInd w:val="0"/>
        <w:jc w:val="both"/>
        <w:rPr>
          <w:color w:val="000000" w:themeColor="text1"/>
          <w:lang w:val="en-GB"/>
        </w:rPr>
      </w:pPr>
    </w:p>
    <w:p w:rsidR="00074515" w:rsidRPr="006B4871" w:rsidRDefault="00074515" w:rsidP="00074515">
      <w:pPr>
        <w:pStyle w:val="JuList"/>
        <w:numPr>
          <w:ilvl w:val="0"/>
          <w:numId w:val="5"/>
        </w:numPr>
        <w:tabs>
          <w:tab w:val="clear" w:pos="567"/>
          <w:tab w:val="num" w:pos="-142"/>
        </w:tabs>
        <w:ind w:left="284" w:hanging="284"/>
        <w:rPr>
          <w:b/>
          <w:color w:val="000000" w:themeColor="text1"/>
        </w:rPr>
      </w:pPr>
      <w:r w:rsidRPr="006B4871">
        <w:rPr>
          <w:b/>
          <w:color w:val="000000" w:themeColor="text1"/>
        </w:rPr>
        <w:t>FINDS THAT THERE HAS BEEN A VIOLATION OF THE PROCEDURAL OBLIGATION UNDER ARTICLE 2 OF THE EUROPEAN CONVENTION ON HUMAN RIGHTS;</w:t>
      </w:r>
    </w:p>
    <w:p w:rsidR="00074515" w:rsidRPr="006B4871" w:rsidRDefault="00074515" w:rsidP="00074515">
      <w:pPr>
        <w:pStyle w:val="JuList"/>
        <w:ind w:left="0" w:firstLine="0"/>
        <w:rPr>
          <w:b/>
          <w:color w:val="000000" w:themeColor="text1"/>
        </w:rPr>
      </w:pPr>
    </w:p>
    <w:p w:rsidR="00074515" w:rsidRPr="006B4871" w:rsidRDefault="00074515" w:rsidP="00BB0B92">
      <w:pPr>
        <w:pStyle w:val="JuList"/>
        <w:numPr>
          <w:ilvl w:val="0"/>
          <w:numId w:val="5"/>
        </w:numPr>
        <w:tabs>
          <w:tab w:val="clear" w:pos="567"/>
          <w:tab w:val="num" w:pos="-142"/>
        </w:tabs>
        <w:ind w:left="284" w:hanging="284"/>
        <w:rPr>
          <w:b/>
          <w:color w:val="000000" w:themeColor="text1"/>
        </w:rPr>
      </w:pPr>
      <w:r w:rsidRPr="006B4871">
        <w:rPr>
          <w:b/>
          <w:color w:val="000000" w:themeColor="text1"/>
        </w:rPr>
        <w:t xml:space="preserve">FINDS THAT THERE HAS BEEN A VIOLATION OF THE SUBSTANTIVE OBLIGATION UNDER ARTICLE 3 OF THE EUROPEAN CONVENTION ON HUMAN RIGHTS, IN RELATION TO THE ABDUCTION AND </w:t>
      </w:r>
      <w:r w:rsidR="00D552C5" w:rsidRPr="006B4871">
        <w:rPr>
          <w:b/>
          <w:color w:val="000000" w:themeColor="text1"/>
        </w:rPr>
        <w:t>PROBABLE KILLING</w:t>
      </w:r>
      <w:r w:rsidRPr="006B4871">
        <w:rPr>
          <w:b/>
          <w:color w:val="000000" w:themeColor="text1"/>
        </w:rPr>
        <w:t xml:space="preserve"> OF</w:t>
      </w:r>
      <w:r w:rsidR="00D552C5" w:rsidRPr="006B4871">
        <w:rPr>
          <w:b/>
          <w:color w:val="000000" w:themeColor="text1"/>
        </w:rPr>
        <w:t xml:space="preserve"> MR SLOBODAN VUJAČIĆ, MR LUKA PETRUŠIĆ AND MRS RADMILA PETRUŠIĆ</w:t>
      </w:r>
      <w:r w:rsidRPr="006B4871">
        <w:rPr>
          <w:b/>
          <w:color w:val="000000" w:themeColor="text1"/>
        </w:rPr>
        <w:t>;</w:t>
      </w:r>
    </w:p>
    <w:p w:rsidR="00074515" w:rsidRPr="006B4871" w:rsidRDefault="00074515" w:rsidP="00074515">
      <w:pPr>
        <w:pStyle w:val="JuList"/>
        <w:ind w:left="0" w:firstLine="0"/>
        <w:rPr>
          <w:b/>
          <w:color w:val="000000" w:themeColor="text1"/>
        </w:rPr>
      </w:pPr>
    </w:p>
    <w:p w:rsidR="00074515" w:rsidRPr="006B4871" w:rsidRDefault="00074515" w:rsidP="00074515">
      <w:pPr>
        <w:pStyle w:val="JuList"/>
        <w:numPr>
          <w:ilvl w:val="0"/>
          <w:numId w:val="5"/>
        </w:numPr>
        <w:tabs>
          <w:tab w:val="clear" w:pos="567"/>
          <w:tab w:val="num" w:pos="-142"/>
        </w:tabs>
        <w:ind w:left="284" w:hanging="284"/>
        <w:rPr>
          <w:b/>
          <w:color w:val="000000" w:themeColor="text1"/>
        </w:rPr>
      </w:pPr>
      <w:r w:rsidRPr="006B4871">
        <w:rPr>
          <w:b/>
          <w:color w:val="000000" w:themeColor="text1"/>
        </w:rPr>
        <w:lastRenderedPageBreak/>
        <w:t>RECOMMENDS</w:t>
      </w:r>
      <w:r w:rsidRPr="006B4871">
        <w:rPr>
          <w:b/>
          <w:bCs/>
          <w:color w:val="000000" w:themeColor="text1"/>
          <w:lang w:eastAsia="en-US"/>
        </w:rPr>
        <w:t xml:space="preserve"> THAT UNMIK:</w:t>
      </w:r>
    </w:p>
    <w:p w:rsidR="00074515" w:rsidRPr="006B4871" w:rsidRDefault="00074515" w:rsidP="00074515">
      <w:pPr>
        <w:pStyle w:val="JuList"/>
        <w:ind w:left="0" w:firstLine="0"/>
        <w:rPr>
          <w:b/>
          <w:bCs/>
          <w:color w:val="000000" w:themeColor="text1"/>
          <w:lang w:eastAsia="en-US"/>
        </w:rPr>
      </w:pPr>
    </w:p>
    <w:p w:rsidR="00074515" w:rsidRPr="006B4871" w:rsidRDefault="00074515" w:rsidP="00074515">
      <w:pPr>
        <w:pStyle w:val="JuList"/>
        <w:numPr>
          <w:ilvl w:val="0"/>
          <w:numId w:val="18"/>
        </w:numPr>
        <w:tabs>
          <w:tab w:val="num" w:pos="720"/>
        </w:tabs>
        <w:rPr>
          <w:b/>
          <w:bCs/>
          <w:color w:val="000000" w:themeColor="text1"/>
          <w:lang w:eastAsia="en-US"/>
        </w:rPr>
      </w:pPr>
      <w:r w:rsidRPr="006B4871">
        <w:rPr>
          <w:b/>
          <w:bCs/>
          <w:color w:val="000000" w:themeColor="text1"/>
          <w:lang w:eastAsia="en-US"/>
        </w:rPr>
        <w:t xml:space="preserve">URGES THE COMPETENT AUTHORITIES IN KOSOVO TO TAKE ALL POSSIBLE STEPS IN ORDER TO ENSURE THAT THE CRIMINAL INVESTIGATION INTO </w:t>
      </w:r>
      <w:r w:rsidRPr="006B4871">
        <w:rPr>
          <w:b/>
          <w:bCs/>
          <w:color w:val="000000" w:themeColor="text1"/>
        </w:rPr>
        <w:t xml:space="preserve">THE ABDUCTION AND </w:t>
      </w:r>
      <w:r w:rsidR="00126590" w:rsidRPr="006B4871">
        <w:rPr>
          <w:b/>
          <w:color w:val="000000" w:themeColor="text1"/>
        </w:rPr>
        <w:t>PROBABLE KILLING OF MR SLOBODAN VUJAČIĆ, MR LUKA PETRUŠIĆ AND MRS RADMILA PETRUŠIĆ</w:t>
      </w:r>
      <w:r w:rsidRPr="006B4871">
        <w:rPr>
          <w:b/>
          <w:bCs/>
          <w:color w:val="000000" w:themeColor="text1"/>
        </w:rPr>
        <w:t xml:space="preserve"> </w:t>
      </w:r>
      <w:r w:rsidRPr="006B4871">
        <w:rPr>
          <w:b/>
          <w:color w:val="000000" w:themeColor="text1"/>
        </w:rPr>
        <w:t>IS</w:t>
      </w:r>
      <w:r w:rsidRPr="006B4871">
        <w:rPr>
          <w:b/>
          <w:bCs/>
          <w:color w:val="000000" w:themeColor="text1"/>
          <w:lang w:eastAsia="en-US"/>
        </w:rPr>
        <w:t xml:space="preserve"> CONTINUED IN COMPLIANCE WITH ARTICLE 2 OF THE ECHR AND THAT THE PERPETRATORS ARE BROUGHT TO JUSTICE;</w:t>
      </w:r>
    </w:p>
    <w:p w:rsidR="00074515" w:rsidRPr="006B4871" w:rsidRDefault="00074515" w:rsidP="00074515">
      <w:pPr>
        <w:pStyle w:val="JuList"/>
        <w:ind w:left="426" w:hanging="283"/>
        <w:rPr>
          <w:b/>
          <w:bCs/>
          <w:color w:val="000000" w:themeColor="text1"/>
          <w:lang w:eastAsia="en-US"/>
        </w:rPr>
      </w:pPr>
    </w:p>
    <w:p w:rsidR="00074515" w:rsidRPr="006B4871" w:rsidRDefault="00074515" w:rsidP="00074515">
      <w:pPr>
        <w:pStyle w:val="JuList"/>
        <w:numPr>
          <w:ilvl w:val="0"/>
          <w:numId w:val="18"/>
        </w:numPr>
        <w:tabs>
          <w:tab w:val="num" w:pos="720"/>
        </w:tabs>
        <w:rPr>
          <w:b/>
          <w:bCs/>
          <w:color w:val="000000" w:themeColor="text1"/>
          <w:lang w:eastAsia="en-US"/>
        </w:rPr>
      </w:pPr>
      <w:r w:rsidRPr="006B4871">
        <w:rPr>
          <w:b/>
          <w:bCs/>
          <w:color w:val="000000" w:themeColor="text1"/>
          <w:lang w:eastAsia="en-US"/>
        </w:rPr>
        <w:t>PUBLICLY ACKNOWLEDGES</w:t>
      </w:r>
      <w:r w:rsidR="00BB0B92" w:rsidRPr="006B4871">
        <w:rPr>
          <w:b/>
          <w:bCs/>
          <w:color w:val="000000" w:themeColor="text1"/>
          <w:lang w:eastAsia="en-US"/>
        </w:rPr>
        <w:t>, INCLUDING THROUGH MEDIA,</w:t>
      </w:r>
      <w:r w:rsidRPr="006B4871">
        <w:rPr>
          <w:b/>
          <w:bCs/>
          <w:color w:val="000000" w:themeColor="text1"/>
          <w:lang w:eastAsia="en-US"/>
        </w:rPr>
        <w:t xml:space="preserve"> RESPONSIBILITY FOR ITS FAILURE TO CONDUCT AN EFFECTIVE INVESTIGATION INTO </w:t>
      </w:r>
      <w:r w:rsidRPr="006B4871">
        <w:rPr>
          <w:b/>
          <w:bCs/>
          <w:color w:val="000000" w:themeColor="text1"/>
        </w:rPr>
        <w:t xml:space="preserve">THE ABDUCTION AND </w:t>
      </w:r>
      <w:r w:rsidR="00126590" w:rsidRPr="006B4871">
        <w:rPr>
          <w:b/>
          <w:color w:val="000000" w:themeColor="text1"/>
        </w:rPr>
        <w:t>PROBABLE KILLING OF MR SLOBODAN VUJAČIĆ, MR LUKA PETRUŠIĆ AND MRS RADMILA PETRUŠIĆ</w:t>
      </w:r>
      <w:r w:rsidRPr="006B4871">
        <w:rPr>
          <w:b/>
          <w:bCs/>
          <w:color w:val="000000" w:themeColor="text1"/>
          <w:lang w:eastAsia="en-US"/>
        </w:rPr>
        <w:t>, AS WELL AS FOR DISTRESS AND MENTAL SUFFERING INCURRED, AND MAKES A PUBLIC APOLOGY TO THE COMPLAINANT AND H</w:t>
      </w:r>
      <w:r w:rsidR="00126590" w:rsidRPr="006B4871">
        <w:rPr>
          <w:b/>
          <w:bCs/>
          <w:color w:val="000000" w:themeColor="text1"/>
          <w:lang w:eastAsia="en-US"/>
        </w:rPr>
        <w:t>ER</w:t>
      </w:r>
      <w:r w:rsidRPr="006B4871">
        <w:rPr>
          <w:b/>
          <w:bCs/>
          <w:color w:val="000000" w:themeColor="text1"/>
          <w:lang w:eastAsia="en-US"/>
        </w:rPr>
        <w:t xml:space="preserve"> FAMILY;</w:t>
      </w:r>
    </w:p>
    <w:p w:rsidR="00074515" w:rsidRPr="006B4871" w:rsidRDefault="00074515" w:rsidP="00074515">
      <w:pPr>
        <w:pStyle w:val="JuList"/>
        <w:ind w:left="426" w:hanging="283"/>
        <w:rPr>
          <w:b/>
          <w:bCs/>
          <w:color w:val="000000" w:themeColor="text1"/>
          <w:lang w:eastAsia="en-US"/>
        </w:rPr>
      </w:pPr>
    </w:p>
    <w:p w:rsidR="00074515" w:rsidRPr="006B4871" w:rsidRDefault="00074515" w:rsidP="00074515">
      <w:pPr>
        <w:pStyle w:val="JuList"/>
        <w:numPr>
          <w:ilvl w:val="0"/>
          <w:numId w:val="18"/>
        </w:numPr>
        <w:tabs>
          <w:tab w:val="num" w:pos="720"/>
        </w:tabs>
        <w:rPr>
          <w:b/>
          <w:bCs/>
          <w:color w:val="000000" w:themeColor="text1"/>
          <w:lang w:eastAsia="en-US"/>
        </w:rPr>
      </w:pPr>
      <w:r w:rsidRPr="006B4871">
        <w:rPr>
          <w:b/>
          <w:bCs/>
          <w:color w:val="000000" w:themeColor="text1"/>
          <w:lang w:eastAsia="en-US"/>
        </w:rPr>
        <w:t>TAKES APPROPRIATE STEPS TOWARDS PAYMENT OF ADEQUATE COMPENSATION TO THE COMPLAINANT FOR MORAL DAMAGE IN RELATION TO THE FINDING OF VIOLATIONS OF ARTICLE 2 AND ARTICLE 3 OF THE ECHR.</w:t>
      </w:r>
    </w:p>
    <w:p w:rsidR="00074515" w:rsidRPr="006B4871" w:rsidRDefault="00074515" w:rsidP="00074515">
      <w:pPr>
        <w:pStyle w:val="JuList"/>
        <w:ind w:left="426" w:hanging="283"/>
        <w:rPr>
          <w:b/>
          <w:bCs/>
          <w:color w:val="000000" w:themeColor="text1"/>
          <w:lang w:eastAsia="en-US"/>
        </w:rPr>
      </w:pPr>
    </w:p>
    <w:p w:rsidR="00074515" w:rsidRPr="006B4871" w:rsidRDefault="00074515" w:rsidP="00074515">
      <w:pPr>
        <w:pStyle w:val="JuList"/>
        <w:numPr>
          <w:ilvl w:val="0"/>
          <w:numId w:val="18"/>
        </w:numPr>
        <w:tabs>
          <w:tab w:val="num" w:pos="720"/>
        </w:tabs>
        <w:rPr>
          <w:b/>
          <w:bCs/>
          <w:color w:val="000000" w:themeColor="text1"/>
          <w:lang w:eastAsia="en-US"/>
        </w:rPr>
      </w:pPr>
      <w:r w:rsidRPr="006B4871">
        <w:rPr>
          <w:b/>
          <w:bCs/>
          <w:color w:val="000000" w:themeColor="text1"/>
          <w:lang w:eastAsia="en-US"/>
        </w:rPr>
        <w:t>TAKES APPROPRIATE STEPS TOWARDS THE REALISATION OF A FULL AND COMPREHENSIVE REPARATION PROGRAMME;</w:t>
      </w:r>
    </w:p>
    <w:p w:rsidR="00074515" w:rsidRPr="006B4871" w:rsidRDefault="00074515" w:rsidP="00074515">
      <w:pPr>
        <w:pStyle w:val="JuList"/>
        <w:ind w:left="426" w:hanging="283"/>
        <w:rPr>
          <w:b/>
          <w:bCs/>
          <w:color w:val="000000" w:themeColor="text1"/>
          <w:lang w:eastAsia="en-US"/>
        </w:rPr>
      </w:pPr>
    </w:p>
    <w:p w:rsidR="00074515" w:rsidRPr="006B4871" w:rsidRDefault="00074515" w:rsidP="00074515">
      <w:pPr>
        <w:pStyle w:val="JuList"/>
        <w:numPr>
          <w:ilvl w:val="0"/>
          <w:numId w:val="18"/>
        </w:numPr>
        <w:tabs>
          <w:tab w:val="num" w:pos="720"/>
        </w:tabs>
        <w:rPr>
          <w:b/>
          <w:bCs/>
          <w:color w:val="000000" w:themeColor="text1"/>
          <w:lang w:eastAsia="en-US"/>
        </w:rPr>
      </w:pPr>
      <w:r w:rsidRPr="006B4871">
        <w:rPr>
          <w:b/>
          <w:bCs/>
          <w:color w:val="000000" w:themeColor="text1"/>
          <w:lang w:eastAsia="en-US"/>
        </w:rPr>
        <w:t>TAKES APPROPRIATE STEPS AT THE UNITED NATIONS AS A GUARANTEE OF NON REPETITION;</w:t>
      </w:r>
    </w:p>
    <w:p w:rsidR="00074515" w:rsidRPr="006B4871" w:rsidRDefault="00074515" w:rsidP="00074515">
      <w:pPr>
        <w:pStyle w:val="JuList"/>
        <w:ind w:left="426" w:hanging="283"/>
        <w:rPr>
          <w:b/>
          <w:bCs/>
          <w:color w:val="000000" w:themeColor="text1"/>
          <w:lang w:eastAsia="en-US"/>
        </w:rPr>
      </w:pPr>
    </w:p>
    <w:p w:rsidR="00074515" w:rsidRPr="006B4871" w:rsidRDefault="00074515" w:rsidP="00074515">
      <w:pPr>
        <w:pStyle w:val="JuList"/>
        <w:numPr>
          <w:ilvl w:val="0"/>
          <w:numId w:val="18"/>
        </w:numPr>
        <w:tabs>
          <w:tab w:val="num" w:pos="720"/>
        </w:tabs>
        <w:rPr>
          <w:b/>
          <w:bCs/>
          <w:color w:val="000000" w:themeColor="text1"/>
          <w:lang w:eastAsia="en-US"/>
        </w:rPr>
      </w:pPr>
      <w:r w:rsidRPr="006B4871">
        <w:rPr>
          <w:b/>
          <w:bCs/>
          <w:color w:val="000000" w:themeColor="text1"/>
          <w:lang w:eastAsia="en-US"/>
        </w:rPr>
        <w:t>TAKES IMMEDIATE AND EFFECTIVE MEASURES TO IMPLEMENT THE RECOMMENDATIONS OF THE PANEL AND TO INFORM THE COMPLAINANT AND THE PANEL ABOUT FURTHER DEVELOPMENTS IN THIS CASE.</w:t>
      </w:r>
    </w:p>
    <w:p w:rsidR="00074515" w:rsidRPr="006B4871" w:rsidRDefault="00074515" w:rsidP="00074515">
      <w:pPr>
        <w:autoSpaceDE w:val="0"/>
        <w:autoSpaceDN w:val="0"/>
        <w:adjustRightInd w:val="0"/>
        <w:jc w:val="both"/>
        <w:rPr>
          <w:b/>
          <w:bCs/>
          <w:color w:val="000000" w:themeColor="text1"/>
          <w:lang w:val="en-GB"/>
        </w:rPr>
      </w:pPr>
    </w:p>
    <w:p w:rsidR="00074515" w:rsidRPr="006B4871" w:rsidRDefault="00074515" w:rsidP="00074515">
      <w:pPr>
        <w:tabs>
          <w:tab w:val="left" w:pos="709"/>
        </w:tabs>
        <w:suppressAutoHyphens/>
        <w:autoSpaceDE w:val="0"/>
        <w:ind w:left="450"/>
        <w:jc w:val="both"/>
        <w:rPr>
          <w:lang w:val="en-GB"/>
        </w:rPr>
      </w:pPr>
    </w:p>
    <w:bookmarkEnd w:id="83"/>
    <w:p w:rsidR="008212B8" w:rsidRPr="006B4871" w:rsidRDefault="008212B8" w:rsidP="00074515">
      <w:pPr>
        <w:rPr>
          <w:color w:val="000000" w:themeColor="text1"/>
          <w:lang w:val="en-GB"/>
        </w:rPr>
      </w:pPr>
    </w:p>
    <w:p w:rsidR="003B3907" w:rsidRPr="006B4871" w:rsidRDefault="003B3907" w:rsidP="003E3F85">
      <w:pPr>
        <w:autoSpaceDE w:val="0"/>
        <w:autoSpaceDN w:val="0"/>
        <w:adjustRightInd w:val="0"/>
        <w:jc w:val="both"/>
        <w:rPr>
          <w:lang w:val="en-GB"/>
        </w:rPr>
      </w:pPr>
    </w:p>
    <w:p w:rsidR="003B3907" w:rsidRPr="006B4871" w:rsidRDefault="003B3907" w:rsidP="003E3F85">
      <w:pPr>
        <w:autoSpaceDE w:val="0"/>
        <w:autoSpaceDN w:val="0"/>
        <w:adjustRightInd w:val="0"/>
        <w:jc w:val="both"/>
        <w:rPr>
          <w:lang w:val="en-GB"/>
        </w:rPr>
      </w:pPr>
    </w:p>
    <w:p w:rsidR="003E3F85" w:rsidRPr="006B4871" w:rsidRDefault="002948A6" w:rsidP="003E3F85">
      <w:pPr>
        <w:autoSpaceDE w:val="0"/>
        <w:autoSpaceDN w:val="0"/>
        <w:adjustRightInd w:val="0"/>
        <w:jc w:val="both"/>
        <w:rPr>
          <w:lang w:val="en-GB"/>
        </w:rPr>
      </w:pPr>
      <w:r w:rsidRPr="006B4871">
        <w:rPr>
          <w:lang w:val="en-GB"/>
        </w:rPr>
        <w:t>Andrey Antonov</w:t>
      </w:r>
      <w:r w:rsidR="003E3F85" w:rsidRPr="006B4871">
        <w:rPr>
          <w:lang w:val="en-GB"/>
        </w:rPr>
        <w:tab/>
      </w:r>
      <w:r w:rsidR="003E3F85" w:rsidRPr="006B4871">
        <w:rPr>
          <w:lang w:val="en-GB"/>
        </w:rPr>
        <w:tab/>
      </w:r>
      <w:r w:rsidR="003E3F85" w:rsidRPr="006B4871">
        <w:rPr>
          <w:lang w:val="en-GB"/>
        </w:rPr>
        <w:tab/>
      </w:r>
      <w:r w:rsidR="003E3F85" w:rsidRPr="006B4871">
        <w:rPr>
          <w:lang w:val="en-GB"/>
        </w:rPr>
        <w:tab/>
      </w:r>
      <w:r w:rsidR="003E3F85" w:rsidRPr="006B4871">
        <w:rPr>
          <w:lang w:val="en-GB"/>
        </w:rPr>
        <w:tab/>
      </w:r>
      <w:r w:rsidR="003E3F85" w:rsidRPr="006B4871">
        <w:rPr>
          <w:lang w:val="en-GB"/>
        </w:rPr>
        <w:tab/>
      </w:r>
      <w:r w:rsidRPr="006B4871">
        <w:rPr>
          <w:lang w:val="en-GB"/>
        </w:rPr>
        <w:tab/>
      </w:r>
      <w:r w:rsidR="003E3F85" w:rsidRPr="006B4871">
        <w:rPr>
          <w:lang w:val="en-GB"/>
        </w:rPr>
        <w:t>Marek Nowicki</w:t>
      </w:r>
    </w:p>
    <w:p w:rsidR="002948A6" w:rsidRPr="006B4871" w:rsidRDefault="003E3F85" w:rsidP="001B768F">
      <w:pPr>
        <w:autoSpaceDE w:val="0"/>
        <w:autoSpaceDN w:val="0"/>
        <w:adjustRightInd w:val="0"/>
        <w:jc w:val="both"/>
        <w:rPr>
          <w:lang w:val="en-GB"/>
        </w:rPr>
      </w:pPr>
      <w:r w:rsidRPr="006B4871">
        <w:rPr>
          <w:lang w:val="en-GB"/>
        </w:rPr>
        <w:t xml:space="preserve">Executive Officer </w:t>
      </w:r>
      <w:r w:rsidRPr="006B4871">
        <w:rPr>
          <w:lang w:val="en-GB"/>
        </w:rPr>
        <w:tab/>
      </w:r>
      <w:r w:rsidRPr="006B4871">
        <w:rPr>
          <w:lang w:val="en-GB"/>
        </w:rPr>
        <w:tab/>
      </w:r>
      <w:r w:rsidRPr="006B4871">
        <w:rPr>
          <w:lang w:val="en-GB"/>
        </w:rPr>
        <w:tab/>
      </w:r>
      <w:r w:rsidRPr="006B4871">
        <w:rPr>
          <w:lang w:val="en-GB"/>
        </w:rPr>
        <w:tab/>
      </w:r>
      <w:r w:rsidRPr="006B4871">
        <w:rPr>
          <w:lang w:val="en-GB"/>
        </w:rPr>
        <w:tab/>
        <w:t xml:space="preserve"> </w:t>
      </w:r>
      <w:r w:rsidRPr="006B4871">
        <w:rPr>
          <w:lang w:val="en-GB"/>
        </w:rPr>
        <w:tab/>
      </w:r>
      <w:r w:rsidR="002948A6" w:rsidRPr="006B4871">
        <w:rPr>
          <w:lang w:val="en-GB"/>
        </w:rPr>
        <w:tab/>
      </w:r>
      <w:r w:rsidR="001B768F" w:rsidRPr="006B4871">
        <w:rPr>
          <w:lang w:val="en-GB"/>
        </w:rPr>
        <w:t>Presiding Membe</w:t>
      </w:r>
      <w:r w:rsidR="00B56986" w:rsidRPr="006B4871">
        <w:rPr>
          <w:lang w:val="en-GB"/>
        </w:rPr>
        <w:t>r</w:t>
      </w:r>
    </w:p>
    <w:p w:rsidR="00CA379B" w:rsidRPr="006B4871" w:rsidRDefault="00CA379B">
      <w:pPr>
        <w:rPr>
          <w:i/>
          <w:lang w:val="en-GB"/>
        </w:rPr>
      </w:pPr>
      <w:r w:rsidRPr="006B4871">
        <w:rPr>
          <w:i/>
          <w:lang w:val="en-GB"/>
        </w:rPr>
        <w:br w:type="page"/>
      </w:r>
    </w:p>
    <w:p w:rsidR="008F03DC" w:rsidRPr="006B4871" w:rsidRDefault="008F03DC" w:rsidP="003E3F85">
      <w:pPr>
        <w:ind w:left="7200" w:firstLine="720"/>
        <w:jc w:val="center"/>
        <w:rPr>
          <w:i/>
          <w:lang w:val="en-GB"/>
        </w:rPr>
      </w:pPr>
      <w:r w:rsidRPr="006B4871">
        <w:rPr>
          <w:i/>
          <w:lang w:val="en-GB"/>
        </w:rPr>
        <w:lastRenderedPageBreak/>
        <w:t>Annex</w:t>
      </w:r>
    </w:p>
    <w:p w:rsidR="004F71FD" w:rsidRPr="006B4871" w:rsidRDefault="004F71FD" w:rsidP="004C104C">
      <w:pPr>
        <w:jc w:val="center"/>
        <w:rPr>
          <w:b/>
          <w:lang w:val="en-GB"/>
        </w:rPr>
      </w:pPr>
    </w:p>
    <w:p w:rsidR="00F52A7B" w:rsidRPr="006B4871" w:rsidRDefault="00F52A7B" w:rsidP="004C104C">
      <w:pPr>
        <w:jc w:val="center"/>
        <w:rPr>
          <w:lang w:val="en-GB"/>
        </w:rPr>
      </w:pPr>
      <w:r w:rsidRPr="006B4871">
        <w:rPr>
          <w:b/>
          <w:lang w:val="en-GB"/>
        </w:rPr>
        <w:t>ABBREVIATIONS AND ACRONYMS</w:t>
      </w:r>
    </w:p>
    <w:p w:rsidR="00F52A7B" w:rsidRPr="006B4871" w:rsidRDefault="00F52A7B" w:rsidP="00F52A7B">
      <w:pPr>
        <w:autoSpaceDE w:val="0"/>
        <w:jc w:val="both"/>
        <w:rPr>
          <w:lang w:val="en-GB"/>
        </w:rPr>
      </w:pPr>
    </w:p>
    <w:p w:rsidR="00F52A7B" w:rsidRPr="006B4871" w:rsidRDefault="00F52A7B" w:rsidP="00F52A7B">
      <w:pPr>
        <w:autoSpaceDE w:val="0"/>
        <w:jc w:val="both"/>
        <w:rPr>
          <w:lang w:val="en-GB"/>
        </w:rPr>
      </w:pPr>
      <w:r w:rsidRPr="006B4871">
        <w:rPr>
          <w:b/>
          <w:lang w:val="en-GB"/>
        </w:rPr>
        <w:t xml:space="preserve">CCIU </w:t>
      </w:r>
      <w:r w:rsidRPr="006B4871">
        <w:rPr>
          <w:lang w:val="en-GB"/>
        </w:rPr>
        <w:t>- Central Criminal Investigation Unit</w:t>
      </w:r>
    </w:p>
    <w:p w:rsidR="00F52A7B" w:rsidRPr="006B4871" w:rsidRDefault="00F52A7B" w:rsidP="00F52A7B">
      <w:pPr>
        <w:autoSpaceDE w:val="0"/>
        <w:jc w:val="both"/>
        <w:rPr>
          <w:lang w:val="en-GB"/>
        </w:rPr>
      </w:pPr>
      <w:r w:rsidRPr="006B4871">
        <w:rPr>
          <w:b/>
          <w:lang w:val="en-GB"/>
        </w:rPr>
        <w:t xml:space="preserve">CCPR – </w:t>
      </w:r>
      <w:r w:rsidRPr="006B4871">
        <w:rPr>
          <w:lang w:val="en-GB"/>
        </w:rPr>
        <w:t>International Covenant on Civil and Political Rights</w:t>
      </w:r>
    </w:p>
    <w:p w:rsidR="00F52A7B" w:rsidRPr="006B4871" w:rsidRDefault="00F52A7B" w:rsidP="00F52A7B">
      <w:pPr>
        <w:autoSpaceDE w:val="0"/>
        <w:jc w:val="both"/>
        <w:rPr>
          <w:lang w:val="en-GB"/>
        </w:rPr>
      </w:pPr>
      <w:r w:rsidRPr="006B4871">
        <w:rPr>
          <w:b/>
          <w:lang w:val="en-GB"/>
        </w:rPr>
        <w:t xml:space="preserve">DOJ </w:t>
      </w:r>
      <w:r w:rsidRPr="006B4871">
        <w:rPr>
          <w:lang w:val="en-GB"/>
        </w:rPr>
        <w:t>- Department of Justice</w:t>
      </w:r>
    </w:p>
    <w:p w:rsidR="00F52A7B" w:rsidRPr="006B4871" w:rsidRDefault="00F52A7B" w:rsidP="00F52A7B">
      <w:pPr>
        <w:autoSpaceDE w:val="0"/>
        <w:jc w:val="both"/>
        <w:rPr>
          <w:lang w:val="en-GB"/>
        </w:rPr>
      </w:pPr>
      <w:r w:rsidRPr="006B4871">
        <w:rPr>
          <w:b/>
          <w:lang w:val="en-GB"/>
        </w:rPr>
        <w:t>DPPO</w:t>
      </w:r>
      <w:r w:rsidRPr="006B4871">
        <w:rPr>
          <w:lang w:val="en-GB"/>
        </w:rPr>
        <w:t xml:space="preserve"> - District Public Prosecutor’s Office</w:t>
      </w:r>
    </w:p>
    <w:p w:rsidR="00F52A7B" w:rsidRPr="006B4871" w:rsidRDefault="00F52A7B" w:rsidP="00F52A7B">
      <w:pPr>
        <w:autoSpaceDE w:val="0"/>
        <w:jc w:val="both"/>
        <w:rPr>
          <w:lang w:val="en-GB"/>
        </w:rPr>
      </w:pPr>
      <w:r w:rsidRPr="006B4871">
        <w:rPr>
          <w:b/>
          <w:lang w:val="en-GB"/>
        </w:rPr>
        <w:t>ECHR</w:t>
      </w:r>
      <w:r w:rsidRPr="006B4871">
        <w:rPr>
          <w:lang w:val="en-GB"/>
        </w:rPr>
        <w:t xml:space="preserve"> - European Convention on Human Rights</w:t>
      </w:r>
    </w:p>
    <w:p w:rsidR="00F52A7B" w:rsidRPr="006B4871" w:rsidRDefault="00F52A7B" w:rsidP="00F52A7B">
      <w:pPr>
        <w:autoSpaceDE w:val="0"/>
        <w:jc w:val="both"/>
        <w:rPr>
          <w:lang w:val="en-GB"/>
        </w:rPr>
      </w:pPr>
      <w:r w:rsidRPr="006B4871">
        <w:rPr>
          <w:b/>
          <w:lang w:val="en-GB"/>
        </w:rPr>
        <w:t xml:space="preserve">ECtHR </w:t>
      </w:r>
      <w:r w:rsidRPr="006B4871">
        <w:rPr>
          <w:lang w:val="en-GB"/>
        </w:rPr>
        <w:t xml:space="preserve">- European Court of Human Rights </w:t>
      </w:r>
    </w:p>
    <w:p w:rsidR="00F52A7B" w:rsidRPr="006B4871" w:rsidRDefault="00F52A7B" w:rsidP="00F52A7B">
      <w:pPr>
        <w:autoSpaceDE w:val="0"/>
        <w:jc w:val="both"/>
        <w:rPr>
          <w:lang w:val="en-GB"/>
        </w:rPr>
      </w:pPr>
      <w:r w:rsidRPr="006B4871">
        <w:rPr>
          <w:b/>
          <w:lang w:val="en-GB"/>
        </w:rPr>
        <w:t>EU</w:t>
      </w:r>
      <w:r w:rsidRPr="006B4871">
        <w:rPr>
          <w:lang w:val="en-GB"/>
        </w:rPr>
        <w:t xml:space="preserve"> – European Union</w:t>
      </w:r>
    </w:p>
    <w:p w:rsidR="00F52A7B" w:rsidRPr="006B4871" w:rsidRDefault="00F52A7B" w:rsidP="00F52A7B">
      <w:pPr>
        <w:autoSpaceDE w:val="0"/>
        <w:jc w:val="both"/>
        <w:rPr>
          <w:lang w:val="en-GB"/>
        </w:rPr>
      </w:pPr>
      <w:r w:rsidRPr="006B4871">
        <w:rPr>
          <w:b/>
          <w:lang w:val="en-GB"/>
        </w:rPr>
        <w:t>EULEX</w:t>
      </w:r>
      <w:r w:rsidRPr="006B4871">
        <w:rPr>
          <w:lang w:val="en-GB"/>
        </w:rPr>
        <w:t xml:space="preserve"> - European Union Rule of Law Mission in Kosovo</w:t>
      </w:r>
    </w:p>
    <w:p w:rsidR="00F52A7B" w:rsidRPr="006B4871" w:rsidRDefault="00F52A7B" w:rsidP="00F52A7B">
      <w:pPr>
        <w:autoSpaceDE w:val="0"/>
        <w:jc w:val="both"/>
        <w:rPr>
          <w:lang w:val="en-GB"/>
        </w:rPr>
      </w:pPr>
      <w:r w:rsidRPr="006B4871">
        <w:rPr>
          <w:b/>
          <w:lang w:val="en-GB"/>
        </w:rPr>
        <w:t xml:space="preserve">FRY </w:t>
      </w:r>
      <w:r w:rsidRPr="006B4871">
        <w:rPr>
          <w:lang w:val="en-GB"/>
        </w:rPr>
        <w:t>-</w:t>
      </w:r>
      <w:r w:rsidR="00D47E53" w:rsidRPr="006B4871">
        <w:rPr>
          <w:lang w:val="en-GB"/>
        </w:rPr>
        <w:t xml:space="preserve"> Federal Republic of Yugoslavia</w:t>
      </w:r>
    </w:p>
    <w:p w:rsidR="00D47E53" w:rsidRPr="006B4871" w:rsidRDefault="00D47E53" w:rsidP="00F52A7B">
      <w:pPr>
        <w:autoSpaceDE w:val="0"/>
        <w:jc w:val="both"/>
        <w:rPr>
          <w:lang w:val="en-GB"/>
        </w:rPr>
      </w:pPr>
      <w:r w:rsidRPr="006B4871">
        <w:rPr>
          <w:b/>
          <w:lang w:val="en-GB"/>
        </w:rPr>
        <w:t>FYROM</w:t>
      </w:r>
      <w:r w:rsidRPr="006B4871">
        <w:rPr>
          <w:lang w:val="en-GB"/>
        </w:rPr>
        <w:t xml:space="preserve"> - Former Yugoslav Republic of Macedonia</w:t>
      </w:r>
    </w:p>
    <w:p w:rsidR="00F52A7B" w:rsidRPr="006B4871" w:rsidRDefault="00F52A7B" w:rsidP="00F52A7B">
      <w:pPr>
        <w:autoSpaceDE w:val="0"/>
        <w:jc w:val="both"/>
        <w:rPr>
          <w:lang w:val="en-GB"/>
        </w:rPr>
      </w:pPr>
      <w:r w:rsidRPr="006B4871">
        <w:rPr>
          <w:b/>
          <w:lang w:val="en-GB"/>
        </w:rPr>
        <w:t xml:space="preserve">HRAP </w:t>
      </w:r>
      <w:r w:rsidRPr="006B4871">
        <w:rPr>
          <w:lang w:val="en-GB"/>
        </w:rPr>
        <w:t>- Human Rights Advisory Panel</w:t>
      </w:r>
    </w:p>
    <w:p w:rsidR="00F52A7B" w:rsidRPr="006B4871" w:rsidRDefault="00F52A7B" w:rsidP="00F52A7B">
      <w:pPr>
        <w:autoSpaceDE w:val="0"/>
        <w:jc w:val="both"/>
        <w:rPr>
          <w:lang w:val="en-GB"/>
        </w:rPr>
      </w:pPr>
      <w:r w:rsidRPr="006B4871">
        <w:rPr>
          <w:b/>
          <w:lang w:val="en-GB"/>
        </w:rPr>
        <w:t>HRC</w:t>
      </w:r>
      <w:r w:rsidR="009E5B51" w:rsidRPr="006B4871">
        <w:rPr>
          <w:lang w:val="en-GB"/>
        </w:rPr>
        <w:t xml:space="preserve"> -</w:t>
      </w:r>
      <w:r w:rsidRPr="006B4871">
        <w:rPr>
          <w:lang w:val="en-GB"/>
        </w:rPr>
        <w:t xml:space="preserve"> United Nation Human Rights Committee</w:t>
      </w:r>
    </w:p>
    <w:p w:rsidR="00316A34" w:rsidRPr="006B4871" w:rsidRDefault="00316A34" w:rsidP="00F52A7B">
      <w:pPr>
        <w:autoSpaceDE w:val="0"/>
        <w:jc w:val="both"/>
        <w:rPr>
          <w:lang w:val="en-GB"/>
        </w:rPr>
      </w:pPr>
      <w:r w:rsidRPr="006B4871">
        <w:rPr>
          <w:b/>
          <w:lang w:val="en-GB"/>
        </w:rPr>
        <w:t xml:space="preserve">HQ </w:t>
      </w:r>
      <w:r w:rsidRPr="006B4871">
        <w:rPr>
          <w:lang w:val="en-GB"/>
        </w:rPr>
        <w:t>- Headquarters</w:t>
      </w:r>
    </w:p>
    <w:p w:rsidR="00F52A7B" w:rsidRPr="006B4871" w:rsidRDefault="00F52A7B" w:rsidP="00F52A7B">
      <w:pPr>
        <w:autoSpaceDE w:val="0"/>
        <w:jc w:val="both"/>
        <w:rPr>
          <w:lang w:val="en-GB"/>
        </w:rPr>
      </w:pPr>
      <w:r w:rsidRPr="006B4871">
        <w:rPr>
          <w:b/>
          <w:lang w:val="en-GB"/>
        </w:rPr>
        <w:t xml:space="preserve">IACtHR </w:t>
      </w:r>
      <w:r w:rsidRPr="006B4871">
        <w:rPr>
          <w:lang w:val="en-GB"/>
        </w:rPr>
        <w:t>– Inter-American Court of Human Rights</w:t>
      </w:r>
    </w:p>
    <w:p w:rsidR="00F52A7B" w:rsidRPr="006B4871" w:rsidRDefault="00F52A7B" w:rsidP="00F52A7B">
      <w:pPr>
        <w:autoSpaceDE w:val="0"/>
        <w:jc w:val="both"/>
        <w:rPr>
          <w:lang w:val="en-GB"/>
        </w:rPr>
      </w:pPr>
      <w:r w:rsidRPr="006B4871">
        <w:rPr>
          <w:b/>
          <w:lang w:val="en-GB"/>
        </w:rPr>
        <w:t>ICMP</w:t>
      </w:r>
      <w:r w:rsidRPr="006B4871">
        <w:rPr>
          <w:lang w:val="en-GB"/>
        </w:rPr>
        <w:t xml:space="preserve"> - International Commission of Missing Persons</w:t>
      </w:r>
    </w:p>
    <w:p w:rsidR="00F52A7B" w:rsidRPr="006B4871" w:rsidRDefault="00F52A7B" w:rsidP="00F52A7B">
      <w:pPr>
        <w:autoSpaceDE w:val="0"/>
        <w:jc w:val="both"/>
        <w:rPr>
          <w:lang w:val="en-GB"/>
        </w:rPr>
      </w:pPr>
      <w:r w:rsidRPr="006B4871">
        <w:rPr>
          <w:b/>
          <w:lang w:val="en-GB"/>
        </w:rPr>
        <w:t>ICRC</w:t>
      </w:r>
      <w:r w:rsidRPr="006B4871">
        <w:rPr>
          <w:lang w:val="en-GB"/>
        </w:rPr>
        <w:t xml:space="preserve"> - International Committee of the Red Cross</w:t>
      </w:r>
    </w:p>
    <w:p w:rsidR="00F52A7B" w:rsidRPr="006B4871" w:rsidRDefault="00F52A7B" w:rsidP="00F52A7B">
      <w:pPr>
        <w:autoSpaceDE w:val="0"/>
        <w:jc w:val="both"/>
        <w:rPr>
          <w:lang w:val="en-GB"/>
        </w:rPr>
      </w:pPr>
      <w:r w:rsidRPr="006B4871">
        <w:rPr>
          <w:b/>
          <w:lang w:val="en-GB"/>
        </w:rPr>
        <w:t xml:space="preserve">ICTY </w:t>
      </w:r>
      <w:r w:rsidRPr="006B4871">
        <w:rPr>
          <w:lang w:val="en-GB"/>
        </w:rPr>
        <w:t>- International Criminal Tribunal for former Yugoslavia</w:t>
      </w:r>
    </w:p>
    <w:p w:rsidR="00F52A7B" w:rsidRPr="006B4871" w:rsidRDefault="00F52A7B" w:rsidP="00F52A7B">
      <w:pPr>
        <w:autoSpaceDE w:val="0"/>
        <w:jc w:val="both"/>
        <w:rPr>
          <w:lang w:val="en-GB"/>
        </w:rPr>
      </w:pPr>
      <w:r w:rsidRPr="006B4871">
        <w:rPr>
          <w:b/>
          <w:lang w:val="en-GB"/>
        </w:rPr>
        <w:t>KFOR</w:t>
      </w:r>
      <w:r w:rsidRPr="006B4871">
        <w:rPr>
          <w:lang w:val="en-GB"/>
        </w:rPr>
        <w:t xml:space="preserve"> - International Security Force (commonly known as Kosovo Force)</w:t>
      </w:r>
    </w:p>
    <w:p w:rsidR="00F52A7B" w:rsidRPr="006B4871" w:rsidRDefault="00F52A7B" w:rsidP="00F52A7B">
      <w:pPr>
        <w:autoSpaceDE w:val="0"/>
        <w:jc w:val="both"/>
        <w:rPr>
          <w:lang w:val="en-GB"/>
        </w:rPr>
      </w:pPr>
      <w:r w:rsidRPr="006B4871">
        <w:rPr>
          <w:b/>
          <w:lang w:val="en-GB"/>
        </w:rPr>
        <w:t>KLA</w:t>
      </w:r>
      <w:r w:rsidRPr="006B4871">
        <w:rPr>
          <w:lang w:val="en-GB"/>
        </w:rPr>
        <w:t xml:space="preserve"> - Kosovo Liberation Army</w:t>
      </w:r>
    </w:p>
    <w:p w:rsidR="00F52A7B" w:rsidRPr="006B4871" w:rsidRDefault="00F52A7B" w:rsidP="00F52A7B">
      <w:pPr>
        <w:autoSpaceDE w:val="0"/>
        <w:jc w:val="both"/>
        <w:rPr>
          <w:b/>
          <w:lang w:val="en-GB"/>
        </w:rPr>
      </w:pPr>
      <w:r w:rsidRPr="006B4871">
        <w:rPr>
          <w:b/>
          <w:lang w:val="en-GB"/>
        </w:rPr>
        <w:t xml:space="preserve">MoU - </w:t>
      </w:r>
      <w:r w:rsidRPr="006B4871">
        <w:rPr>
          <w:lang w:val="en-GB"/>
        </w:rPr>
        <w:t>Memorandum of Understanding</w:t>
      </w:r>
    </w:p>
    <w:p w:rsidR="00F52A7B" w:rsidRPr="006B4871" w:rsidRDefault="00F52A7B" w:rsidP="00F52A7B">
      <w:pPr>
        <w:autoSpaceDE w:val="0"/>
        <w:jc w:val="both"/>
        <w:rPr>
          <w:lang w:val="en-GB"/>
        </w:rPr>
      </w:pPr>
      <w:r w:rsidRPr="006B4871">
        <w:rPr>
          <w:b/>
          <w:lang w:val="en-GB"/>
        </w:rPr>
        <w:t xml:space="preserve">MPU </w:t>
      </w:r>
      <w:r w:rsidRPr="006B4871">
        <w:rPr>
          <w:lang w:val="en-GB"/>
        </w:rPr>
        <w:t>- Missing Persons Unit</w:t>
      </w:r>
    </w:p>
    <w:p w:rsidR="00F52A7B" w:rsidRPr="006B4871" w:rsidRDefault="00F52A7B" w:rsidP="00F52A7B">
      <w:pPr>
        <w:autoSpaceDE w:val="0"/>
        <w:jc w:val="both"/>
        <w:rPr>
          <w:lang w:val="en-GB"/>
        </w:rPr>
      </w:pPr>
      <w:r w:rsidRPr="006B4871">
        <w:rPr>
          <w:b/>
          <w:lang w:val="en-GB"/>
        </w:rPr>
        <w:t>NATO</w:t>
      </w:r>
      <w:r w:rsidRPr="006B4871">
        <w:rPr>
          <w:lang w:val="en-GB"/>
        </w:rPr>
        <w:t xml:space="preserve"> - North Atlantic Treaty Organization </w:t>
      </w:r>
    </w:p>
    <w:p w:rsidR="00F52A7B" w:rsidRPr="006B4871" w:rsidRDefault="00F52A7B" w:rsidP="00F52A7B">
      <w:pPr>
        <w:autoSpaceDE w:val="0"/>
        <w:jc w:val="both"/>
        <w:rPr>
          <w:lang w:val="en-GB"/>
        </w:rPr>
      </w:pPr>
      <w:r w:rsidRPr="006B4871">
        <w:rPr>
          <w:b/>
          <w:lang w:val="en-GB"/>
        </w:rPr>
        <w:t>OMPF</w:t>
      </w:r>
      <w:r w:rsidRPr="006B4871">
        <w:rPr>
          <w:lang w:val="en-GB"/>
        </w:rPr>
        <w:t xml:space="preserve"> - Office on Missing Persons and Forensics</w:t>
      </w:r>
    </w:p>
    <w:p w:rsidR="00F52A7B" w:rsidRPr="006B4871" w:rsidRDefault="00F52A7B" w:rsidP="00F52A7B">
      <w:pPr>
        <w:autoSpaceDE w:val="0"/>
        <w:jc w:val="both"/>
        <w:rPr>
          <w:lang w:val="en-GB"/>
        </w:rPr>
      </w:pPr>
      <w:r w:rsidRPr="006B4871">
        <w:rPr>
          <w:b/>
          <w:lang w:val="en-GB"/>
        </w:rPr>
        <w:t>OSCE</w:t>
      </w:r>
      <w:r w:rsidRPr="006B4871">
        <w:rPr>
          <w:lang w:val="en-GB"/>
        </w:rPr>
        <w:t xml:space="preserve"> - Organization for Security and Cooperation in Europe</w:t>
      </w:r>
    </w:p>
    <w:p w:rsidR="00F52A7B" w:rsidRPr="006B4871" w:rsidRDefault="00F52A7B" w:rsidP="00F52A7B">
      <w:pPr>
        <w:autoSpaceDE w:val="0"/>
        <w:jc w:val="both"/>
        <w:rPr>
          <w:lang w:val="en-GB"/>
        </w:rPr>
      </w:pPr>
      <w:r w:rsidRPr="006B4871">
        <w:rPr>
          <w:b/>
          <w:lang w:val="en-GB"/>
        </w:rPr>
        <w:t>RIU</w:t>
      </w:r>
      <w:r w:rsidRPr="006B4871">
        <w:rPr>
          <w:lang w:val="en-GB"/>
        </w:rPr>
        <w:t xml:space="preserve"> - Regional Investigation Unit</w:t>
      </w:r>
    </w:p>
    <w:p w:rsidR="00C81EF3" w:rsidRPr="006B4871" w:rsidRDefault="00C81EF3" w:rsidP="00F52A7B">
      <w:pPr>
        <w:autoSpaceDE w:val="0"/>
        <w:jc w:val="both"/>
        <w:rPr>
          <w:b/>
          <w:lang w:val="en-GB"/>
        </w:rPr>
      </w:pPr>
      <w:r w:rsidRPr="006B4871">
        <w:rPr>
          <w:b/>
          <w:lang w:val="en-GB"/>
        </w:rPr>
        <w:t xml:space="preserve">SIU – </w:t>
      </w:r>
      <w:r w:rsidRPr="006B4871">
        <w:rPr>
          <w:lang w:val="en-GB"/>
        </w:rPr>
        <w:t>Special Investigations Unit of the UNMIK Security</w:t>
      </w:r>
    </w:p>
    <w:p w:rsidR="00F52A7B" w:rsidRPr="006B4871" w:rsidRDefault="00F52A7B" w:rsidP="00F52A7B">
      <w:pPr>
        <w:autoSpaceDE w:val="0"/>
        <w:jc w:val="both"/>
        <w:rPr>
          <w:lang w:val="en-GB"/>
        </w:rPr>
      </w:pPr>
      <w:r w:rsidRPr="006B4871">
        <w:rPr>
          <w:b/>
          <w:lang w:val="en-GB"/>
        </w:rPr>
        <w:t>SRSG</w:t>
      </w:r>
      <w:r w:rsidRPr="006B4871">
        <w:rPr>
          <w:lang w:val="en-GB"/>
        </w:rPr>
        <w:t xml:space="preserve"> - Special Representative of the Secretary-General </w:t>
      </w:r>
    </w:p>
    <w:p w:rsidR="00F52A7B" w:rsidRPr="006B4871" w:rsidRDefault="00F52A7B" w:rsidP="00F52A7B">
      <w:pPr>
        <w:autoSpaceDE w:val="0"/>
        <w:jc w:val="both"/>
        <w:rPr>
          <w:lang w:val="en-GB"/>
        </w:rPr>
      </w:pPr>
      <w:r w:rsidRPr="006B4871">
        <w:rPr>
          <w:b/>
          <w:lang w:val="en-GB"/>
        </w:rPr>
        <w:t>UN</w:t>
      </w:r>
      <w:r w:rsidRPr="006B4871">
        <w:rPr>
          <w:lang w:val="en-GB"/>
        </w:rPr>
        <w:t xml:space="preserve"> - United Nations</w:t>
      </w:r>
    </w:p>
    <w:p w:rsidR="00F52A7B" w:rsidRPr="006B4871" w:rsidRDefault="00F52A7B" w:rsidP="00F52A7B">
      <w:pPr>
        <w:autoSpaceDE w:val="0"/>
        <w:jc w:val="both"/>
        <w:rPr>
          <w:lang w:val="en-GB"/>
        </w:rPr>
      </w:pPr>
      <w:r w:rsidRPr="006B4871">
        <w:rPr>
          <w:b/>
          <w:lang w:val="en-GB"/>
        </w:rPr>
        <w:t xml:space="preserve">UNHCR </w:t>
      </w:r>
      <w:r w:rsidRPr="006B4871">
        <w:rPr>
          <w:lang w:val="en-GB"/>
        </w:rPr>
        <w:t>- United Nations High Commissioner for Refugees</w:t>
      </w:r>
    </w:p>
    <w:p w:rsidR="00F52A7B" w:rsidRPr="006B4871" w:rsidRDefault="00F52A7B" w:rsidP="00F52A7B">
      <w:pPr>
        <w:autoSpaceDE w:val="0"/>
        <w:jc w:val="both"/>
        <w:rPr>
          <w:lang w:val="en-GB"/>
        </w:rPr>
      </w:pPr>
      <w:r w:rsidRPr="006B4871">
        <w:rPr>
          <w:b/>
          <w:lang w:val="en-GB"/>
        </w:rPr>
        <w:t>UNMIK</w:t>
      </w:r>
      <w:r w:rsidRPr="006B4871">
        <w:rPr>
          <w:lang w:val="en-GB"/>
        </w:rPr>
        <w:t xml:space="preserve"> - United Nations Interim Administration Mission in Kosovo </w:t>
      </w:r>
    </w:p>
    <w:p w:rsidR="00F52A7B" w:rsidRPr="006B4871" w:rsidRDefault="00F52A7B" w:rsidP="00F52A7B">
      <w:pPr>
        <w:autoSpaceDE w:val="0"/>
        <w:jc w:val="both"/>
        <w:rPr>
          <w:lang w:val="en-GB"/>
        </w:rPr>
      </w:pPr>
      <w:r w:rsidRPr="006B4871">
        <w:rPr>
          <w:b/>
          <w:lang w:val="en-GB"/>
        </w:rPr>
        <w:t>VRIC</w:t>
      </w:r>
      <w:r w:rsidRPr="006B4871">
        <w:rPr>
          <w:lang w:val="en-GB"/>
        </w:rPr>
        <w:t xml:space="preserve"> - Victim Recovery and Identification Commission</w:t>
      </w:r>
    </w:p>
    <w:p w:rsidR="00546DB5" w:rsidRPr="001F7985" w:rsidRDefault="00F52A7B">
      <w:pPr>
        <w:autoSpaceDE w:val="0"/>
        <w:jc w:val="both"/>
        <w:rPr>
          <w:lang w:val="en-GB"/>
        </w:rPr>
      </w:pPr>
      <w:r w:rsidRPr="006B4871">
        <w:rPr>
          <w:b/>
          <w:lang w:val="en-GB"/>
        </w:rPr>
        <w:t xml:space="preserve">WCIU </w:t>
      </w:r>
      <w:r w:rsidRPr="006B4871">
        <w:rPr>
          <w:lang w:val="en-GB"/>
        </w:rPr>
        <w:t>- War Crimes Investigation Unit</w:t>
      </w: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D3" w:rsidRDefault="001B35D3">
      <w:r>
        <w:separator/>
      </w:r>
    </w:p>
  </w:endnote>
  <w:endnote w:type="continuationSeparator" w:id="0">
    <w:p w:rsidR="001B35D3" w:rsidRDefault="001B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D3" w:rsidRDefault="001B35D3">
      <w:r>
        <w:separator/>
      </w:r>
    </w:p>
  </w:footnote>
  <w:footnote w:type="continuationSeparator" w:id="0">
    <w:p w:rsidR="001B35D3" w:rsidRDefault="001B35D3">
      <w:r>
        <w:continuationSeparator/>
      </w:r>
    </w:p>
  </w:footnote>
  <w:footnote w:id="1">
    <w:p w:rsidR="006B4871" w:rsidRPr="000C1973" w:rsidRDefault="006B4871"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6B4871" w:rsidRPr="001732BF" w:rsidRDefault="006B4871"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and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v. France</w:t>
      </w:r>
      <w:r w:rsidRPr="001732BF">
        <w:rPr>
          <w:rFonts w:ascii="Times New Roman" w:hAnsi="Times New Roman"/>
          <w:sz w:val="20"/>
        </w:rPr>
        <w:t xml:space="preserve"> and </w:t>
      </w:r>
      <w:proofErr w:type="spellStart"/>
      <w:r w:rsidRPr="001732BF">
        <w:rPr>
          <w:rFonts w:ascii="Times New Roman" w:hAnsi="Times New Roman"/>
          <w:i/>
          <w:sz w:val="20"/>
        </w:rPr>
        <w:t>Saramati</w:t>
      </w:r>
      <w:proofErr w:type="spellEnd"/>
      <w:r w:rsidRPr="001732BF">
        <w:rPr>
          <w:rFonts w:ascii="Times New Roman" w:hAnsi="Times New Roman"/>
          <w:i/>
          <w:sz w:val="20"/>
        </w:rPr>
        <w:t xml:space="preserve">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6B4871" w:rsidRPr="000F55DA" w:rsidRDefault="006B4871" w:rsidP="00E35F5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Pr>
          <w:rFonts w:ascii="Times New Roman" w:hAnsi="Times New Roman"/>
          <w:sz w:val="20"/>
        </w:rPr>
        <w:t xml:space="preserve"> The</w:t>
      </w:r>
      <w:r w:rsidRPr="000F55DA">
        <w:rPr>
          <w:rFonts w:ascii="Times New Roman" w:hAnsi="Times New Roman"/>
          <w:sz w:val="20"/>
        </w:rPr>
        <w:t xml:space="preserve"> OMPF database is not open to public. The Panel accessed i</w:t>
      </w:r>
      <w:r>
        <w:rPr>
          <w:rFonts w:ascii="Times New Roman" w:hAnsi="Times New Roman"/>
          <w:sz w:val="20"/>
        </w:rPr>
        <w:t>t with regard to this case on 1</w:t>
      </w:r>
      <w:r w:rsidRPr="000F55DA">
        <w:rPr>
          <w:rFonts w:ascii="Times New Roman" w:hAnsi="Times New Roman"/>
          <w:sz w:val="20"/>
        </w:rPr>
        <w:t xml:space="preserve"> </w:t>
      </w:r>
      <w:r>
        <w:rPr>
          <w:rFonts w:ascii="Times New Roman" w:hAnsi="Times New Roman"/>
          <w:sz w:val="20"/>
        </w:rPr>
        <w:t>December</w:t>
      </w:r>
      <w:r w:rsidRPr="000F55DA">
        <w:rPr>
          <w:rFonts w:ascii="Times New Roman" w:hAnsi="Times New Roman"/>
          <w:sz w:val="20"/>
        </w:rPr>
        <w:t xml:space="preserve"> 2014.</w:t>
      </w:r>
    </w:p>
  </w:footnote>
  <w:footnote w:id="4">
    <w:p w:rsidR="006B4871" w:rsidRPr="000F55DA" w:rsidRDefault="006B4871" w:rsidP="00E35F59">
      <w:pPr>
        <w:pStyle w:val="FootnoteText"/>
        <w:jc w:val="both"/>
        <w:rPr>
          <w:rFonts w:ascii="Times New Roman" w:hAnsi="Times New Roman"/>
          <w:sz w:val="20"/>
        </w:rPr>
      </w:pPr>
      <w:r w:rsidRPr="000F55DA">
        <w:rPr>
          <w:rStyle w:val="FootnoteReference"/>
          <w:rFonts w:ascii="Times New Roman" w:hAnsi="Times New Roman"/>
          <w:sz w:val="20"/>
        </w:rPr>
        <w:footnoteRef/>
      </w:r>
      <w:r>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 December 2014</w:t>
      </w:r>
      <w:r w:rsidRPr="000F55DA">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71" w:rsidRPr="000722CE" w:rsidRDefault="007A1372">
    <w:pPr>
      <w:pStyle w:val="Header"/>
      <w:jc w:val="right"/>
      <w:rPr>
        <w:sz w:val="20"/>
        <w:szCs w:val="20"/>
      </w:rPr>
    </w:pPr>
    <w:r w:rsidRPr="000722CE">
      <w:rPr>
        <w:sz w:val="20"/>
        <w:szCs w:val="20"/>
      </w:rPr>
      <w:fldChar w:fldCharType="begin"/>
    </w:r>
    <w:r w:rsidR="006B4871" w:rsidRPr="000722CE">
      <w:rPr>
        <w:sz w:val="20"/>
        <w:szCs w:val="20"/>
      </w:rPr>
      <w:instrText xml:space="preserve"> PAGE   \* MERGEFORMAT </w:instrText>
    </w:r>
    <w:r w:rsidRPr="000722CE">
      <w:rPr>
        <w:sz w:val="20"/>
        <w:szCs w:val="20"/>
      </w:rPr>
      <w:fldChar w:fldCharType="separate"/>
    </w:r>
    <w:r w:rsidR="00F8019F">
      <w:rPr>
        <w:noProof/>
        <w:sz w:val="20"/>
        <w:szCs w:val="20"/>
      </w:rPr>
      <w:t>32</w:t>
    </w:r>
    <w:r w:rsidRPr="000722CE">
      <w:rPr>
        <w:sz w:val="20"/>
        <w:szCs w:val="20"/>
      </w:rPr>
      <w:fldChar w:fldCharType="end"/>
    </w:r>
  </w:p>
  <w:p w:rsidR="006B4871" w:rsidRDefault="006B4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601EF0D6"/>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BB057F"/>
    <w:multiLevelType w:val="hybridMultilevel"/>
    <w:tmpl w:val="CAB64818"/>
    <w:lvl w:ilvl="0" w:tplc="3ECEE246">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039FF"/>
    <w:multiLevelType w:val="hybridMultilevel"/>
    <w:tmpl w:val="7FF8C03C"/>
    <w:lvl w:ilvl="0" w:tplc="5CFE02B8">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7"/>
  </w:num>
  <w:num w:numId="5">
    <w:abstractNumId w:val="11"/>
  </w:num>
  <w:num w:numId="6">
    <w:abstractNumId w:val="2"/>
  </w:num>
  <w:num w:numId="7">
    <w:abstractNumId w:val="9"/>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5"/>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515"/>
    <w:rsid w:val="00074D6B"/>
    <w:rsid w:val="00075D74"/>
    <w:rsid w:val="00075FC9"/>
    <w:rsid w:val="00077145"/>
    <w:rsid w:val="00077DE9"/>
    <w:rsid w:val="0008098F"/>
    <w:rsid w:val="0008099B"/>
    <w:rsid w:val="00082345"/>
    <w:rsid w:val="00086415"/>
    <w:rsid w:val="000875E1"/>
    <w:rsid w:val="00091C96"/>
    <w:rsid w:val="0009345C"/>
    <w:rsid w:val="00094FA3"/>
    <w:rsid w:val="0009548D"/>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2822"/>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6E7"/>
    <w:rsid w:val="0010071F"/>
    <w:rsid w:val="001018B0"/>
    <w:rsid w:val="00102BB7"/>
    <w:rsid w:val="00106865"/>
    <w:rsid w:val="00111B60"/>
    <w:rsid w:val="00112081"/>
    <w:rsid w:val="00112756"/>
    <w:rsid w:val="001132C3"/>
    <w:rsid w:val="00113503"/>
    <w:rsid w:val="00114786"/>
    <w:rsid w:val="0011549D"/>
    <w:rsid w:val="001155AC"/>
    <w:rsid w:val="00117054"/>
    <w:rsid w:val="0012023C"/>
    <w:rsid w:val="00121E9E"/>
    <w:rsid w:val="00122DFB"/>
    <w:rsid w:val="00123F99"/>
    <w:rsid w:val="00126590"/>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3BF4"/>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2D9"/>
    <w:rsid w:val="00186B18"/>
    <w:rsid w:val="00190271"/>
    <w:rsid w:val="00193002"/>
    <w:rsid w:val="00194191"/>
    <w:rsid w:val="00194800"/>
    <w:rsid w:val="00194D93"/>
    <w:rsid w:val="00195ECC"/>
    <w:rsid w:val="00197979"/>
    <w:rsid w:val="001A08B0"/>
    <w:rsid w:val="001A4AF8"/>
    <w:rsid w:val="001A57F8"/>
    <w:rsid w:val="001A5F6B"/>
    <w:rsid w:val="001A6816"/>
    <w:rsid w:val="001B155D"/>
    <w:rsid w:val="001B1A1A"/>
    <w:rsid w:val="001B241F"/>
    <w:rsid w:val="001B35D3"/>
    <w:rsid w:val="001B44B7"/>
    <w:rsid w:val="001B4620"/>
    <w:rsid w:val="001B4F35"/>
    <w:rsid w:val="001B6B46"/>
    <w:rsid w:val="001B768F"/>
    <w:rsid w:val="001B7E46"/>
    <w:rsid w:val="001C0F0F"/>
    <w:rsid w:val="001C2229"/>
    <w:rsid w:val="001C238F"/>
    <w:rsid w:val="001C41DB"/>
    <w:rsid w:val="001C6555"/>
    <w:rsid w:val="001D2C42"/>
    <w:rsid w:val="001D311B"/>
    <w:rsid w:val="001D3C35"/>
    <w:rsid w:val="001D45F5"/>
    <w:rsid w:val="001D4A00"/>
    <w:rsid w:val="001D5261"/>
    <w:rsid w:val="001D5F2F"/>
    <w:rsid w:val="001D6CAC"/>
    <w:rsid w:val="001D73A9"/>
    <w:rsid w:val="001D7A5D"/>
    <w:rsid w:val="001E0021"/>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17BA"/>
    <w:rsid w:val="00222D2F"/>
    <w:rsid w:val="00225BAB"/>
    <w:rsid w:val="002274C0"/>
    <w:rsid w:val="00231A61"/>
    <w:rsid w:val="00231EE6"/>
    <w:rsid w:val="0023308F"/>
    <w:rsid w:val="0023537F"/>
    <w:rsid w:val="002360DA"/>
    <w:rsid w:val="002361C0"/>
    <w:rsid w:val="00236A14"/>
    <w:rsid w:val="00237A05"/>
    <w:rsid w:val="00242881"/>
    <w:rsid w:val="002437E9"/>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29CD"/>
    <w:rsid w:val="002D3DA0"/>
    <w:rsid w:val="002D428F"/>
    <w:rsid w:val="002D5DD4"/>
    <w:rsid w:val="002E02C5"/>
    <w:rsid w:val="002E04D2"/>
    <w:rsid w:val="002E0AF3"/>
    <w:rsid w:val="002E1F96"/>
    <w:rsid w:val="002E2507"/>
    <w:rsid w:val="002E4E73"/>
    <w:rsid w:val="002F1033"/>
    <w:rsid w:val="002F2D96"/>
    <w:rsid w:val="002F42C3"/>
    <w:rsid w:val="002F46FC"/>
    <w:rsid w:val="002F4D66"/>
    <w:rsid w:val="002F65E3"/>
    <w:rsid w:val="00301DAC"/>
    <w:rsid w:val="00304848"/>
    <w:rsid w:val="00304D18"/>
    <w:rsid w:val="00310CFD"/>
    <w:rsid w:val="00310F91"/>
    <w:rsid w:val="00312441"/>
    <w:rsid w:val="00316340"/>
    <w:rsid w:val="00316A34"/>
    <w:rsid w:val="00321C03"/>
    <w:rsid w:val="00322780"/>
    <w:rsid w:val="00323223"/>
    <w:rsid w:val="00326663"/>
    <w:rsid w:val="003306C0"/>
    <w:rsid w:val="00330F5D"/>
    <w:rsid w:val="003324DB"/>
    <w:rsid w:val="00332682"/>
    <w:rsid w:val="003337EF"/>
    <w:rsid w:val="00333CD6"/>
    <w:rsid w:val="003360CC"/>
    <w:rsid w:val="00336E1E"/>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407F"/>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14BC8"/>
    <w:rsid w:val="00420088"/>
    <w:rsid w:val="004202B2"/>
    <w:rsid w:val="00422729"/>
    <w:rsid w:val="00423598"/>
    <w:rsid w:val="004252FC"/>
    <w:rsid w:val="0042549A"/>
    <w:rsid w:val="00426EC7"/>
    <w:rsid w:val="00427A31"/>
    <w:rsid w:val="0043016C"/>
    <w:rsid w:val="00430BBE"/>
    <w:rsid w:val="00430D9E"/>
    <w:rsid w:val="00433154"/>
    <w:rsid w:val="0043400E"/>
    <w:rsid w:val="00434BB6"/>
    <w:rsid w:val="0043575D"/>
    <w:rsid w:val="00440903"/>
    <w:rsid w:val="00440E88"/>
    <w:rsid w:val="0044246C"/>
    <w:rsid w:val="00443568"/>
    <w:rsid w:val="00445EAD"/>
    <w:rsid w:val="0044617E"/>
    <w:rsid w:val="00452920"/>
    <w:rsid w:val="004534C4"/>
    <w:rsid w:val="00455594"/>
    <w:rsid w:val="0045684F"/>
    <w:rsid w:val="00456871"/>
    <w:rsid w:val="00461097"/>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44F2"/>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45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1D0"/>
    <w:rsid w:val="00590DAC"/>
    <w:rsid w:val="0059175C"/>
    <w:rsid w:val="005917EC"/>
    <w:rsid w:val="0059532D"/>
    <w:rsid w:val="00595E25"/>
    <w:rsid w:val="00596E66"/>
    <w:rsid w:val="005A068B"/>
    <w:rsid w:val="005A1063"/>
    <w:rsid w:val="005A1E72"/>
    <w:rsid w:val="005A204F"/>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C7EC0"/>
    <w:rsid w:val="005D10AB"/>
    <w:rsid w:val="005D12FB"/>
    <w:rsid w:val="005D2F19"/>
    <w:rsid w:val="005D3ED0"/>
    <w:rsid w:val="005D5F1A"/>
    <w:rsid w:val="005E361B"/>
    <w:rsid w:val="005E37C5"/>
    <w:rsid w:val="005E403F"/>
    <w:rsid w:val="005E4930"/>
    <w:rsid w:val="005E6E2D"/>
    <w:rsid w:val="005E7C8F"/>
    <w:rsid w:val="005F0A19"/>
    <w:rsid w:val="005F4187"/>
    <w:rsid w:val="005F686D"/>
    <w:rsid w:val="005F689D"/>
    <w:rsid w:val="005F6DB3"/>
    <w:rsid w:val="005F742B"/>
    <w:rsid w:val="00603A86"/>
    <w:rsid w:val="00603C7F"/>
    <w:rsid w:val="00603D49"/>
    <w:rsid w:val="00605915"/>
    <w:rsid w:val="00606C3D"/>
    <w:rsid w:val="006111E0"/>
    <w:rsid w:val="00612698"/>
    <w:rsid w:val="00612EEF"/>
    <w:rsid w:val="0061493D"/>
    <w:rsid w:val="00616A11"/>
    <w:rsid w:val="00617352"/>
    <w:rsid w:val="006205AF"/>
    <w:rsid w:val="00621EDB"/>
    <w:rsid w:val="00622236"/>
    <w:rsid w:val="0062454F"/>
    <w:rsid w:val="00626D88"/>
    <w:rsid w:val="00627BF9"/>
    <w:rsid w:val="00627C8E"/>
    <w:rsid w:val="0063039E"/>
    <w:rsid w:val="006366D0"/>
    <w:rsid w:val="00640576"/>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2F16"/>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ADB"/>
    <w:rsid w:val="00685D4C"/>
    <w:rsid w:val="00685FBC"/>
    <w:rsid w:val="00687ACD"/>
    <w:rsid w:val="006918C3"/>
    <w:rsid w:val="006946F9"/>
    <w:rsid w:val="006958C0"/>
    <w:rsid w:val="00697A75"/>
    <w:rsid w:val="006A09FC"/>
    <w:rsid w:val="006A1710"/>
    <w:rsid w:val="006A2CDF"/>
    <w:rsid w:val="006A7C1B"/>
    <w:rsid w:val="006B052B"/>
    <w:rsid w:val="006B153E"/>
    <w:rsid w:val="006B3F3C"/>
    <w:rsid w:val="006B4871"/>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60"/>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6AC5"/>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202"/>
    <w:rsid w:val="00743572"/>
    <w:rsid w:val="00743F72"/>
    <w:rsid w:val="00745771"/>
    <w:rsid w:val="0075283E"/>
    <w:rsid w:val="00752CBA"/>
    <w:rsid w:val="00752CDF"/>
    <w:rsid w:val="0075317B"/>
    <w:rsid w:val="00754113"/>
    <w:rsid w:val="007551D8"/>
    <w:rsid w:val="00755247"/>
    <w:rsid w:val="00757455"/>
    <w:rsid w:val="0076188F"/>
    <w:rsid w:val="00761AE8"/>
    <w:rsid w:val="007645ED"/>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1372"/>
    <w:rsid w:val="007A4CC9"/>
    <w:rsid w:val="007A510C"/>
    <w:rsid w:val="007A59FF"/>
    <w:rsid w:val="007A6514"/>
    <w:rsid w:val="007A6603"/>
    <w:rsid w:val="007A6FCD"/>
    <w:rsid w:val="007B03A4"/>
    <w:rsid w:val="007B087A"/>
    <w:rsid w:val="007B15C2"/>
    <w:rsid w:val="007B1A13"/>
    <w:rsid w:val="007B57A9"/>
    <w:rsid w:val="007C02C1"/>
    <w:rsid w:val="007C1589"/>
    <w:rsid w:val="007C2F12"/>
    <w:rsid w:val="007C303C"/>
    <w:rsid w:val="007C36B5"/>
    <w:rsid w:val="007C49D1"/>
    <w:rsid w:val="007C6567"/>
    <w:rsid w:val="007C65E0"/>
    <w:rsid w:val="007C7C12"/>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6FE8"/>
    <w:rsid w:val="007F7030"/>
    <w:rsid w:val="007F758E"/>
    <w:rsid w:val="007F7B59"/>
    <w:rsid w:val="00801C04"/>
    <w:rsid w:val="008025EF"/>
    <w:rsid w:val="0080361B"/>
    <w:rsid w:val="00803953"/>
    <w:rsid w:val="00806DE7"/>
    <w:rsid w:val="0080739D"/>
    <w:rsid w:val="00807460"/>
    <w:rsid w:val="00810AF7"/>
    <w:rsid w:val="00811117"/>
    <w:rsid w:val="008113E6"/>
    <w:rsid w:val="008124CF"/>
    <w:rsid w:val="008143BC"/>
    <w:rsid w:val="00814B10"/>
    <w:rsid w:val="00814B70"/>
    <w:rsid w:val="008151F0"/>
    <w:rsid w:val="00815A55"/>
    <w:rsid w:val="008161EB"/>
    <w:rsid w:val="008163AC"/>
    <w:rsid w:val="00816608"/>
    <w:rsid w:val="00816B4C"/>
    <w:rsid w:val="00816D2E"/>
    <w:rsid w:val="00820338"/>
    <w:rsid w:val="008212B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5FC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4D10"/>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97CEB"/>
    <w:rsid w:val="008A1049"/>
    <w:rsid w:val="008A32D9"/>
    <w:rsid w:val="008A3876"/>
    <w:rsid w:val="008A590C"/>
    <w:rsid w:val="008B099A"/>
    <w:rsid w:val="008B0F39"/>
    <w:rsid w:val="008B35E6"/>
    <w:rsid w:val="008B3F0E"/>
    <w:rsid w:val="008B53F6"/>
    <w:rsid w:val="008B575F"/>
    <w:rsid w:val="008B6B8A"/>
    <w:rsid w:val="008B7710"/>
    <w:rsid w:val="008B7A73"/>
    <w:rsid w:val="008C06A6"/>
    <w:rsid w:val="008C10E2"/>
    <w:rsid w:val="008C17DA"/>
    <w:rsid w:val="008C1A0D"/>
    <w:rsid w:val="008C2153"/>
    <w:rsid w:val="008C3EB5"/>
    <w:rsid w:val="008C4BEB"/>
    <w:rsid w:val="008C4C37"/>
    <w:rsid w:val="008C61C8"/>
    <w:rsid w:val="008D136A"/>
    <w:rsid w:val="008D3411"/>
    <w:rsid w:val="008D3755"/>
    <w:rsid w:val="008D5CBD"/>
    <w:rsid w:val="008D6EF2"/>
    <w:rsid w:val="008E057A"/>
    <w:rsid w:val="008E20B9"/>
    <w:rsid w:val="008E3F48"/>
    <w:rsid w:val="008E4C8E"/>
    <w:rsid w:val="008E5D83"/>
    <w:rsid w:val="008E61A6"/>
    <w:rsid w:val="008E71FD"/>
    <w:rsid w:val="008F03DC"/>
    <w:rsid w:val="008F147E"/>
    <w:rsid w:val="008F155C"/>
    <w:rsid w:val="008F2AA2"/>
    <w:rsid w:val="008F30A1"/>
    <w:rsid w:val="008F490D"/>
    <w:rsid w:val="008F7CC9"/>
    <w:rsid w:val="00900AAF"/>
    <w:rsid w:val="0090154E"/>
    <w:rsid w:val="00901792"/>
    <w:rsid w:val="00901E52"/>
    <w:rsid w:val="009036E8"/>
    <w:rsid w:val="009045A8"/>
    <w:rsid w:val="00910794"/>
    <w:rsid w:val="009111BF"/>
    <w:rsid w:val="00911BC1"/>
    <w:rsid w:val="00911C44"/>
    <w:rsid w:val="00911EF6"/>
    <w:rsid w:val="009167AD"/>
    <w:rsid w:val="00917D24"/>
    <w:rsid w:val="00923D0C"/>
    <w:rsid w:val="00926A8C"/>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77BF8"/>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380A"/>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21A4"/>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3CC8"/>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4710"/>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77D76"/>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9CE"/>
    <w:rsid w:val="00AD5EFF"/>
    <w:rsid w:val="00AD5FE6"/>
    <w:rsid w:val="00AD68EF"/>
    <w:rsid w:val="00AD7E04"/>
    <w:rsid w:val="00AE399C"/>
    <w:rsid w:val="00AE4660"/>
    <w:rsid w:val="00AE51FC"/>
    <w:rsid w:val="00AE5762"/>
    <w:rsid w:val="00AE69E9"/>
    <w:rsid w:val="00AE7814"/>
    <w:rsid w:val="00AF00F9"/>
    <w:rsid w:val="00AF1CC4"/>
    <w:rsid w:val="00AF1E02"/>
    <w:rsid w:val="00AF457A"/>
    <w:rsid w:val="00AF482D"/>
    <w:rsid w:val="00AF51AB"/>
    <w:rsid w:val="00AF54CC"/>
    <w:rsid w:val="00AF5687"/>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27B8"/>
    <w:rsid w:val="00B53FEB"/>
    <w:rsid w:val="00B56986"/>
    <w:rsid w:val="00B56BF9"/>
    <w:rsid w:val="00B63490"/>
    <w:rsid w:val="00B645A8"/>
    <w:rsid w:val="00B66BBF"/>
    <w:rsid w:val="00B6742D"/>
    <w:rsid w:val="00B724DF"/>
    <w:rsid w:val="00B726FC"/>
    <w:rsid w:val="00B7270F"/>
    <w:rsid w:val="00B76005"/>
    <w:rsid w:val="00B77C87"/>
    <w:rsid w:val="00B804B9"/>
    <w:rsid w:val="00B80FC3"/>
    <w:rsid w:val="00B815D4"/>
    <w:rsid w:val="00B8203E"/>
    <w:rsid w:val="00B83278"/>
    <w:rsid w:val="00B83B58"/>
    <w:rsid w:val="00B85CE4"/>
    <w:rsid w:val="00B86977"/>
    <w:rsid w:val="00B86E45"/>
    <w:rsid w:val="00B87538"/>
    <w:rsid w:val="00B92495"/>
    <w:rsid w:val="00B930D1"/>
    <w:rsid w:val="00B97C80"/>
    <w:rsid w:val="00BA0F5B"/>
    <w:rsid w:val="00BA1DDB"/>
    <w:rsid w:val="00BA2D7C"/>
    <w:rsid w:val="00BB0B51"/>
    <w:rsid w:val="00BB0B92"/>
    <w:rsid w:val="00BB1081"/>
    <w:rsid w:val="00BB18A5"/>
    <w:rsid w:val="00BB323D"/>
    <w:rsid w:val="00BB3CDD"/>
    <w:rsid w:val="00BB5328"/>
    <w:rsid w:val="00BB6721"/>
    <w:rsid w:val="00BB6D67"/>
    <w:rsid w:val="00BC0F8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111E"/>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6885"/>
    <w:rsid w:val="00C376EA"/>
    <w:rsid w:val="00C414F7"/>
    <w:rsid w:val="00C41622"/>
    <w:rsid w:val="00C44BD1"/>
    <w:rsid w:val="00C45577"/>
    <w:rsid w:val="00C45A68"/>
    <w:rsid w:val="00C4646C"/>
    <w:rsid w:val="00C46754"/>
    <w:rsid w:val="00C46FD8"/>
    <w:rsid w:val="00C50C41"/>
    <w:rsid w:val="00C50E53"/>
    <w:rsid w:val="00C526FF"/>
    <w:rsid w:val="00C5651A"/>
    <w:rsid w:val="00C60A2C"/>
    <w:rsid w:val="00C60F5E"/>
    <w:rsid w:val="00C625EA"/>
    <w:rsid w:val="00C64EFB"/>
    <w:rsid w:val="00C728F0"/>
    <w:rsid w:val="00C73131"/>
    <w:rsid w:val="00C734AD"/>
    <w:rsid w:val="00C74A8E"/>
    <w:rsid w:val="00C75650"/>
    <w:rsid w:val="00C756BC"/>
    <w:rsid w:val="00C756F2"/>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3B9"/>
    <w:rsid w:val="00CA0A06"/>
    <w:rsid w:val="00CA1155"/>
    <w:rsid w:val="00CA379B"/>
    <w:rsid w:val="00CA3E87"/>
    <w:rsid w:val="00CA646D"/>
    <w:rsid w:val="00CA6D64"/>
    <w:rsid w:val="00CA77AB"/>
    <w:rsid w:val="00CB0C30"/>
    <w:rsid w:val="00CB0EAA"/>
    <w:rsid w:val="00CB1306"/>
    <w:rsid w:val="00CB2DE1"/>
    <w:rsid w:val="00CB34A0"/>
    <w:rsid w:val="00CB50DF"/>
    <w:rsid w:val="00CB6245"/>
    <w:rsid w:val="00CB6545"/>
    <w:rsid w:val="00CC223C"/>
    <w:rsid w:val="00CC2755"/>
    <w:rsid w:val="00CC51DA"/>
    <w:rsid w:val="00CC6B19"/>
    <w:rsid w:val="00CC7126"/>
    <w:rsid w:val="00CC7B53"/>
    <w:rsid w:val="00CC7D20"/>
    <w:rsid w:val="00CD39BE"/>
    <w:rsid w:val="00CD3EBE"/>
    <w:rsid w:val="00CD43B3"/>
    <w:rsid w:val="00CD4993"/>
    <w:rsid w:val="00CD6D04"/>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36E4"/>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52C5"/>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3DFF"/>
    <w:rsid w:val="00D75560"/>
    <w:rsid w:val="00D76B47"/>
    <w:rsid w:val="00D76CDF"/>
    <w:rsid w:val="00D806EA"/>
    <w:rsid w:val="00D80D13"/>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4650"/>
    <w:rsid w:val="00E25041"/>
    <w:rsid w:val="00E26D58"/>
    <w:rsid w:val="00E27762"/>
    <w:rsid w:val="00E27F0F"/>
    <w:rsid w:val="00E30116"/>
    <w:rsid w:val="00E31976"/>
    <w:rsid w:val="00E327E1"/>
    <w:rsid w:val="00E35231"/>
    <w:rsid w:val="00E35F59"/>
    <w:rsid w:val="00E369D7"/>
    <w:rsid w:val="00E36FD3"/>
    <w:rsid w:val="00E37EC5"/>
    <w:rsid w:val="00E41A62"/>
    <w:rsid w:val="00E425A5"/>
    <w:rsid w:val="00E44394"/>
    <w:rsid w:val="00E4655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19F"/>
    <w:rsid w:val="00F8023E"/>
    <w:rsid w:val="00F8291D"/>
    <w:rsid w:val="00F847B7"/>
    <w:rsid w:val="00F852C2"/>
    <w:rsid w:val="00F855B3"/>
    <w:rsid w:val="00F872AD"/>
    <w:rsid w:val="00F87807"/>
    <w:rsid w:val="00F900AE"/>
    <w:rsid w:val="00F90496"/>
    <w:rsid w:val="00F91764"/>
    <w:rsid w:val="00F9251B"/>
    <w:rsid w:val="00F92971"/>
    <w:rsid w:val="00F95D8C"/>
    <w:rsid w:val="00F96514"/>
    <w:rsid w:val="00F96C32"/>
    <w:rsid w:val="00FA1A5C"/>
    <w:rsid w:val="00FA24FE"/>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VUJAČIĆ, Draginja</Reference>
    <Case_x0020_Year xmlns="63130c8a-8d1f-4e28-8ee3-43603ca9ef3b">2009</Case_x0020_Year>
    <Case_x0020_Status xmlns="16f2acb5-7363-4076-9084-069fc3bb4325">CASE CLOSED</Case_x0020_Status>
    <Date_x0020_of_x0020_Adoption xmlns="16f2acb5-7363-4076-9084-069fc3bb4325">2014-12-12T23:00:00+00:00</Date_x0020_of_x0020_Adoption>
    <Case_x0020_Number xmlns="16f2acb5-7363-4076-9084-069fc3bb4325">226/09</Case_x0020_Number>
    <Type_x0020_of_x0020_Document xmlns="16f2acb5-7363-4076-9084-069fc3bb4325">Opinion</Type_x0020_of_x0020_Document>
    <_dlc_DocId xmlns="b9fab99d-1571-47f6-8995-3a195ef041f8">M5JDUUKXSQ5W-25-1071</_dlc_DocId>
    <_dlc_DocIdUrl xmlns="b9fab99d-1571-47f6-8995-3a195ef041f8">
      <Url>http://www.unmikonline.org/hrap/Eng/_layouts/DocIdRedir.aspx?ID=M5JDUUKXSQ5W-25-1071</Url>
      <Description>M5JDUUKXSQ5W-25-1071</Description>
    </_dlc_DocIdUrl>
  </documentManagement>
</p:properties>
</file>

<file path=customXml/itemProps1.xml><?xml version="1.0" encoding="utf-8"?>
<ds:datastoreItem xmlns:ds="http://schemas.openxmlformats.org/officeDocument/2006/customXml" ds:itemID="{A8E09D63-8F9C-440F-BC6E-888B3BD50CC8}"/>
</file>

<file path=customXml/itemProps2.xml><?xml version="1.0" encoding="utf-8"?>
<ds:datastoreItem xmlns:ds="http://schemas.openxmlformats.org/officeDocument/2006/customXml" ds:itemID="{10B051FF-02F3-4D63-AF84-3A19CABFCD0F}"/>
</file>

<file path=customXml/itemProps3.xml><?xml version="1.0" encoding="utf-8"?>
<ds:datastoreItem xmlns:ds="http://schemas.openxmlformats.org/officeDocument/2006/customXml" ds:itemID="{121F15C8-C8A6-4C5A-A9F2-BB06294C8089}"/>
</file>

<file path=customXml/itemProps4.xml><?xml version="1.0" encoding="utf-8"?>
<ds:datastoreItem xmlns:ds="http://schemas.openxmlformats.org/officeDocument/2006/customXml" ds:itemID="{0E32DB23-8419-425B-BEE4-691F678330E3}"/>
</file>

<file path=customXml/itemProps5.xml><?xml version="1.0" encoding="utf-8"?>
<ds:datastoreItem xmlns:ds="http://schemas.openxmlformats.org/officeDocument/2006/customXml" ds:itemID="{B406BF35-827E-4157-AD78-D57542A21F4B}"/>
</file>

<file path=docProps/app.xml><?xml version="1.0" encoding="utf-8"?>
<Properties xmlns="http://schemas.openxmlformats.org/officeDocument/2006/extended-properties" xmlns:vt="http://schemas.openxmlformats.org/officeDocument/2006/docPropsVTypes">
  <Template>Normal</Template>
  <TotalTime>0</TotalTime>
  <Pages>32</Pages>
  <Words>14717</Words>
  <Characters>83890</Characters>
  <Application>Microsoft Office Word</Application>
  <DocSecurity>0</DocSecurity>
  <Lines>699</Lines>
  <Paragraphs>196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98411</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2015-01-20T10:03:00Z</cp:lastPrinted>
  <dcterms:created xsi:type="dcterms:W3CDTF">2015-02-11T09:41:00Z</dcterms:created>
  <dcterms:modified xsi:type="dcterms:W3CDTF">2015-02-11T09:41:00Z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dd120a91-adc5-4f26-b8cf-64e0d5c89d0a</vt:lpwstr>
  </property>
</Properties>
</file>